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5B5" w:rsidRPr="00190E54" w:rsidRDefault="000125B5">
      <w:pPr>
        <w:rPr>
          <w:rFonts w:ascii="Times New Roman" w:hAnsi="Times New Roman" w:cs="Times New Roman"/>
          <w:sz w:val="24"/>
          <w:szCs w:val="24"/>
        </w:rPr>
      </w:pPr>
      <w:r w:rsidRPr="00190E54">
        <w:rPr>
          <w:rFonts w:ascii="Times New Roman" w:hAnsi="Times New Roman" w:cs="Times New Roman"/>
          <w:i/>
          <w:sz w:val="24"/>
          <w:szCs w:val="24"/>
          <w:u w:val="single"/>
        </w:rPr>
        <w:t>Abstract</w:t>
      </w:r>
    </w:p>
    <w:p w:rsidR="00A651E9" w:rsidRPr="00190E54" w:rsidRDefault="008F6494">
      <w:pPr>
        <w:rPr>
          <w:rFonts w:ascii="Times New Roman" w:hAnsi="Times New Roman" w:cs="Times New Roman"/>
          <w:sz w:val="24"/>
          <w:szCs w:val="24"/>
        </w:rPr>
      </w:pPr>
      <w:r w:rsidRPr="00190E54">
        <w:rPr>
          <w:rFonts w:ascii="Times New Roman" w:hAnsi="Times New Roman" w:cs="Times New Roman"/>
          <w:sz w:val="24"/>
          <w:szCs w:val="24"/>
        </w:rPr>
        <w:t>GROWTH RESPONSE OF CHRYSANTHEMUM (MORIFOLIUM) TO COMPOST TEA/MYCORRHIZAE</w:t>
      </w:r>
    </w:p>
    <w:p w:rsidR="00190E54" w:rsidRDefault="008F6494">
      <w:pPr>
        <w:rPr>
          <w:rFonts w:ascii="Times New Roman" w:hAnsi="Times New Roman" w:cs="Times New Roman"/>
          <w:sz w:val="24"/>
          <w:szCs w:val="24"/>
        </w:rPr>
      </w:pPr>
      <w:r w:rsidRPr="00190E54">
        <w:rPr>
          <w:rFonts w:ascii="Times New Roman" w:hAnsi="Times New Roman" w:cs="Times New Roman"/>
          <w:sz w:val="24"/>
          <w:szCs w:val="24"/>
        </w:rPr>
        <w:t>O. Valentin, A Heater</w:t>
      </w:r>
      <w:r w:rsidR="008F4A55" w:rsidRPr="00190E54">
        <w:rPr>
          <w:rFonts w:ascii="Times New Roman" w:hAnsi="Times New Roman" w:cs="Times New Roman"/>
          <w:sz w:val="24"/>
          <w:szCs w:val="24"/>
        </w:rPr>
        <w:t>-</w:t>
      </w:r>
      <w:r w:rsidRPr="00190E54">
        <w:rPr>
          <w:rFonts w:ascii="Times New Roman" w:hAnsi="Times New Roman" w:cs="Times New Roman"/>
          <w:sz w:val="24"/>
          <w:szCs w:val="24"/>
        </w:rPr>
        <w:t xml:space="preserve"> Parkside High CTE, Wicomico Maryland FFA</w:t>
      </w:r>
    </w:p>
    <w:p w:rsidR="00B20EE4" w:rsidRPr="00190E54" w:rsidRDefault="00B20EE4">
      <w:pPr>
        <w:rPr>
          <w:rFonts w:ascii="Times New Roman" w:hAnsi="Times New Roman" w:cs="Times New Roman"/>
          <w:sz w:val="24"/>
          <w:szCs w:val="24"/>
        </w:rPr>
      </w:pPr>
    </w:p>
    <w:p w:rsidR="0037790D" w:rsidRPr="00190E54" w:rsidRDefault="000A6CD1" w:rsidP="000125B5">
      <w:pPr>
        <w:pStyle w:val="NoSpacing"/>
        <w:jc w:val="both"/>
        <w:rPr>
          <w:rFonts w:ascii="Times New Roman" w:hAnsi="Times New Roman" w:cs="Times New Roman"/>
          <w:sz w:val="24"/>
          <w:szCs w:val="24"/>
        </w:rPr>
      </w:pPr>
      <w:r w:rsidRPr="00190E54">
        <w:rPr>
          <w:rFonts w:ascii="Times New Roman" w:hAnsi="Times New Roman" w:cs="Times New Roman"/>
          <w:sz w:val="24"/>
          <w:szCs w:val="24"/>
        </w:rPr>
        <w:t xml:space="preserve">There have been enormous amounts of studies related to the positive impacts of using compost tea and beneficial mycorrhizae in organic crop </w:t>
      </w:r>
      <w:r w:rsidR="008F4A55" w:rsidRPr="00190E54">
        <w:rPr>
          <w:rFonts w:ascii="Times New Roman" w:hAnsi="Times New Roman" w:cs="Times New Roman"/>
          <w:sz w:val="24"/>
          <w:szCs w:val="24"/>
        </w:rPr>
        <w:t xml:space="preserve">and turf </w:t>
      </w:r>
      <w:r w:rsidRPr="00190E54">
        <w:rPr>
          <w:rFonts w:ascii="Times New Roman" w:hAnsi="Times New Roman" w:cs="Times New Roman"/>
          <w:sz w:val="24"/>
          <w:szCs w:val="24"/>
        </w:rPr>
        <w:t xml:space="preserve">management. These studies have shown that both </w:t>
      </w:r>
      <w:r w:rsidR="008F4A55" w:rsidRPr="00190E54">
        <w:rPr>
          <w:rFonts w:ascii="Times New Roman" w:hAnsi="Times New Roman" w:cs="Times New Roman"/>
          <w:sz w:val="24"/>
          <w:szCs w:val="24"/>
        </w:rPr>
        <w:t xml:space="preserve">the tea and mycorrhizae </w:t>
      </w:r>
      <w:r w:rsidRPr="00190E54">
        <w:rPr>
          <w:rFonts w:ascii="Times New Roman" w:hAnsi="Times New Roman" w:cs="Times New Roman"/>
          <w:sz w:val="24"/>
          <w:szCs w:val="24"/>
        </w:rPr>
        <w:t>provide</w:t>
      </w:r>
      <w:r w:rsidR="008F4A55" w:rsidRPr="00190E54">
        <w:rPr>
          <w:rFonts w:ascii="Times New Roman" w:hAnsi="Times New Roman" w:cs="Times New Roman"/>
          <w:sz w:val="24"/>
          <w:szCs w:val="24"/>
        </w:rPr>
        <w:t xml:space="preserve"> </w:t>
      </w:r>
      <w:r w:rsidRPr="00190E54">
        <w:rPr>
          <w:rFonts w:ascii="Times New Roman" w:hAnsi="Times New Roman" w:cs="Times New Roman"/>
          <w:sz w:val="24"/>
          <w:szCs w:val="24"/>
        </w:rPr>
        <w:t xml:space="preserve">protection against pathogens and </w:t>
      </w:r>
      <w:r w:rsidR="008F4A55" w:rsidRPr="00190E54">
        <w:rPr>
          <w:rFonts w:ascii="Times New Roman" w:hAnsi="Times New Roman" w:cs="Times New Roman"/>
          <w:sz w:val="24"/>
          <w:szCs w:val="24"/>
        </w:rPr>
        <w:t xml:space="preserve">stimulate productivity of </w:t>
      </w:r>
      <w:r w:rsidR="000125B5" w:rsidRPr="00190E54">
        <w:rPr>
          <w:rFonts w:ascii="Times New Roman" w:hAnsi="Times New Roman" w:cs="Times New Roman"/>
          <w:sz w:val="24"/>
          <w:szCs w:val="24"/>
        </w:rPr>
        <w:t>crops and grasses</w:t>
      </w:r>
      <w:r w:rsidR="008F4A55" w:rsidRPr="00190E54">
        <w:rPr>
          <w:rFonts w:ascii="Times New Roman" w:hAnsi="Times New Roman" w:cs="Times New Roman"/>
          <w:sz w:val="24"/>
          <w:szCs w:val="24"/>
        </w:rPr>
        <w:t xml:space="preserve">. However, there has been both few studies </w:t>
      </w:r>
      <w:r w:rsidR="00DB1100" w:rsidRPr="00190E54">
        <w:rPr>
          <w:rFonts w:ascii="Times New Roman" w:hAnsi="Times New Roman" w:cs="Times New Roman"/>
          <w:sz w:val="24"/>
          <w:szCs w:val="24"/>
        </w:rPr>
        <w:t>or</w:t>
      </w:r>
      <w:r w:rsidR="008F4A55" w:rsidRPr="00190E54">
        <w:rPr>
          <w:rFonts w:ascii="Times New Roman" w:hAnsi="Times New Roman" w:cs="Times New Roman"/>
          <w:sz w:val="24"/>
          <w:szCs w:val="24"/>
        </w:rPr>
        <w:t xml:space="preserve"> adoption in the greenhouse container production setting that tests their efficiency related to ornamental </w:t>
      </w:r>
      <w:r w:rsidR="00B73917" w:rsidRPr="00190E54">
        <w:rPr>
          <w:rFonts w:ascii="Times New Roman" w:hAnsi="Times New Roman" w:cs="Times New Roman"/>
          <w:sz w:val="24"/>
          <w:szCs w:val="24"/>
        </w:rPr>
        <w:t xml:space="preserve">or vegetable </w:t>
      </w:r>
      <w:r w:rsidR="008F4A55" w:rsidRPr="00190E54">
        <w:rPr>
          <w:rFonts w:ascii="Times New Roman" w:hAnsi="Times New Roman" w:cs="Times New Roman"/>
          <w:sz w:val="24"/>
          <w:szCs w:val="24"/>
        </w:rPr>
        <w:t xml:space="preserve">plant production. </w:t>
      </w:r>
    </w:p>
    <w:p w:rsidR="0037790D" w:rsidRPr="00190E54" w:rsidRDefault="0037790D" w:rsidP="000125B5">
      <w:pPr>
        <w:pStyle w:val="NoSpacing"/>
        <w:jc w:val="both"/>
        <w:rPr>
          <w:rFonts w:ascii="Times New Roman" w:hAnsi="Times New Roman" w:cs="Times New Roman"/>
          <w:sz w:val="24"/>
          <w:szCs w:val="24"/>
        </w:rPr>
      </w:pPr>
    </w:p>
    <w:p w:rsidR="0037790D" w:rsidRPr="00190E54" w:rsidRDefault="008F4A55" w:rsidP="000125B5">
      <w:pPr>
        <w:pStyle w:val="NoSpacing"/>
        <w:jc w:val="both"/>
        <w:rPr>
          <w:rFonts w:ascii="Times New Roman" w:hAnsi="Times New Roman" w:cs="Times New Roman"/>
          <w:sz w:val="24"/>
          <w:szCs w:val="24"/>
        </w:rPr>
      </w:pPr>
      <w:r w:rsidRPr="00190E54">
        <w:rPr>
          <w:rFonts w:ascii="Times New Roman" w:hAnsi="Times New Roman" w:cs="Times New Roman"/>
          <w:sz w:val="24"/>
          <w:szCs w:val="24"/>
        </w:rPr>
        <w:t>This study conducted</w:t>
      </w:r>
      <w:r w:rsidR="0037790D" w:rsidRPr="00190E54">
        <w:rPr>
          <w:rFonts w:ascii="Times New Roman" w:hAnsi="Times New Roman" w:cs="Times New Roman"/>
          <w:sz w:val="24"/>
          <w:szCs w:val="24"/>
        </w:rPr>
        <w:t>,</w:t>
      </w:r>
      <w:r w:rsidRPr="00190E54">
        <w:rPr>
          <w:rFonts w:ascii="Times New Roman" w:hAnsi="Times New Roman" w:cs="Times New Roman"/>
          <w:sz w:val="24"/>
          <w:szCs w:val="24"/>
        </w:rPr>
        <w:t xml:space="preserve"> used two regimens of liquid compost/mycorrhizae as an addendum </w:t>
      </w:r>
      <w:r w:rsidR="007D46F7" w:rsidRPr="00190E54">
        <w:rPr>
          <w:rFonts w:ascii="Times New Roman" w:hAnsi="Times New Roman" w:cs="Times New Roman"/>
          <w:sz w:val="24"/>
          <w:szCs w:val="24"/>
        </w:rPr>
        <w:t xml:space="preserve">through fertigation </w:t>
      </w:r>
      <w:r w:rsidRPr="00190E54">
        <w:rPr>
          <w:rFonts w:ascii="Times New Roman" w:hAnsi="Times New Roman" w:cs="Times New Roman"/>
          <w:sz w:val="24"/>
          <w:szCs w:val="24"/>
        </w:rPr>
        <w:t xml:space="preserve">to the normal fertilization </w:t>
      </w:r>
      <w:r w:rsidR="0037790D" w:rsidRPr="00190E54">
        <w:rPr>
          <w:rFonts w:ascii="Times New Roman" w:hAnsi="Times New Roman" w:cs="Times New Roman"/>
          <w:sz w:val="24"/>
          <w:szCs w:val="24"/>
        </w:rPr>
        <w:t xml:space="preserve">during summer production of Chrysanthemums. </w:t>
      </w:r>
      <w:r w:rsidR="00DB1100" w:rsidRPr="00190E54">
        <w:rPr>
          <w:rFonts w:ascii="Times New Roman" w:hAnsi="Times New Roman" w:cs="Times New Roman"/>
          <w:sz w:val="24"/>
          <w:szCs w:val="24"/>
        </w:rPr>
        <w:t xml:space="preserve">Chrysanthemum production requires relative large amounts of fertilizer to both establish plants and maintain fertility. The study hypothesized that the addition of the liquid compost/mycorrhizae would add both efficiency </w:t>
      </w:r>
      <w:r w:rsidR="004B7DB2" w:rsidRPr="00190E54">
        <w:rPr>
          <w:rFonts w:ascii="Times New Roman" w:hAnsi="Times New Roman" w:cs="Times New Roman"/>
          <w:sz w:val="24"/>
          <w:szCs w:val="24"/>
        </w:rPr>
        <w:t>to</w:t>
      </w:r>
      <w:r w:rsidR="00DB1100" w:rsidRPr="00190E54">
        <w:rPr>
          <w:rFonts w:ascii="Times New Roman" w:hAnsi="Times New Roman" w:cs="Times New Roman"/>
          <w:sz w:val="24"/>
          <w:szCs w:val="24"/>
        </w:rPr>
        <w:t xml:space="preserve"> </w:t>
      </w:r>
      <w:r w:rsidR="00B73917" w:rsidRPr="00190E54">
        <w:rPr>
          <w:rFonts w:ascii="Times New Roman" w:hAnsi="Times New Roman" w:cs="Times New Roman"/>
          <w:sz w:val="24"/>
          <w:szCs w:val="24"/>
        </w:rPr>
        <w:t xml:space="preserve">the </w:t>
      </w:r>
      <w:r w:rsidR="00DB1100" w:rsidRPr="00190E54">
        <w:rPr>
          <w:rFonts w:ascii="Times New Roman" w:hAnsi="Times New Roman" w:cs="Times New Roman"/>
          <w:sz w:val="24"/>
          <w:szCs w:val="24"/>
        </w:rPr>
        <w:t>mineral uptake</w:t>
      </w:r>
      <w:r w:rsidR="00B73917" w:rsidRPr="00190E54">
        <w:rPr>
          <w:rFonts w:ascii="Times New Roman" w:hAnsi="Times New Roman" w:cs="Times New Roman"/>
          <w:sz w:val="24"/>
          <w:szCs w:val="24"/>
        </w:rPr>
        <w:t xml:space="preserve"> with improved plant vigor</w:t>
      </w:r>
      <w:r w:rsidR="00DB1100" w:rsidRPr="00190E54">
        <w:rPr>
          <w:rFonts w:ascii="Times New Roman" w:hAnsi="Times New Roman" w:cs="Times New Roman"/>
          <w:sz w:val="24"/>
          <w:szCs w:val="24"/>
        </w:rPr>
        <w:t xml:space="preserve"> and </w:t>
      </w:r>
      <w:r w:rsidR="004B7DB2" w:rsidRPr="00190E54">
        <w:rPr>
          <w:rFonts w:ascii="Times New Roman" w:hAnsi="Times New Roman" w:cs="Times New Roman"/>
          <w:sz w:val="24"/>
          <w:szCs w:val="24"/>
        </w:rPr>
        <w:t xml:space="preserve">less disease pressure during production. </w:t>
      </w:r>
      <w:r w:rsidR="0037790D" w:rsidRPr="00190E54">
        <w:rPr>
          <w:rFonts w:ascii="Times New Roman" w:hAnsi="Times New Roman" w:cs="Times New Roman"/>
          <w:sz w:val="24"/>
          <w:szCs w:val="24"/>
        </w:rPr>
        <w:t xml:space="preserve">Measurements conducted were branching, height and biomass of plant from establishment to finishing stages of growth. (8 </w:t>
      </w:r>
      <w:r w:rsidR="007D46F7" w:rsidRPr="00190E54">
        <w:rPr>
          <w:rFonts w:ascii="Times New Roman" w:hAnsi="Times New Roman" w:cs="Times New Roman"/>
          <w:sz w:val="24"/>
          <w:szCs w:val="24"/>
        </w:rPr>
        <w:t>weeks) Uniform</w:t>
      </w:r>
      <w:r w:rsidR="0037790D" w:rsidRPr="00190E54">
        <w:rPr>
          <w:rFonts w:ascii="Times New Roman" w:hAnsi="Times New Roman" w:cs="Times New Roman"/>
          <w:sz w:val="24"/>
          <w:szCs w:val="24"/>
        </w:rPr>
        <w:t xml:space="preserve"> rates of irrigation, fungicide treatment and fertilization were maintained for all three tested groups. </w:t>
      </w:r>
    </w:p>
    <w:p w:rsidR="0037790D" w:rsidRPr="00190E54" w:rsidRDefault="0037790D" w:rsidP="000125B5">
      <w:pPr>
        <w:pStyle w:val="NoSpacing"/>
        <w:jc w:val="both"/>
        <w:rPr>
          <w:rFonts w:ascii="Times New Roman" w:hAnsi="Times New Roman" w:cs="Times New Roman"/>
          <w:sz w:val="24"/>
          <w:szCs w:val="24"/>
        </w:rPr>
      </w:pPr>
    </w:p>
    <w:p w:rsidR="00E73CE5" w:rsidRPr="00190E54" w:rsidRDefault="0037790D" w:rsidP="000125B5">
      <w:pPr>
        <w:pStyle w:val="NoSpacing"/>
        <w:jc w:val="both"/>
        <w:rPr>
          <w:rFonts w:ascii="Times New Roman" w:hAnsi="Times New Roman" w:cs="Times New Roman"/>
          <w:sz w:val="24"/>
          <w:szCs w:val="24"/>
        </w:rPr>
      </w:pPr>
      <w:r w:rsidRPr="00190E54">
        <w:rPr>
          <w:rFonts w:ascii="Times New Roman" w:hAnsi="Times New Roman" w:cs="Times New Roman"/>
          <w:sz w:val="24"/>
          <w:szCs w:val="24"/>
        </w:rPr>
        <w:t xml:space="preserve">The application of the Compost Tea had a significant positive contribution to branching, height and biomass compared to control. </w:t>
      </w:r>
      <w:r w:rsidR="007D46F7" w:rsidRPr="00190E54">
        <w:rPr>
          <w:rFonts w:ascii="Times New Roman" w:hAnsi="Times New Roman" w:cs="Times New Roman"/>
          <w:sz w:val="24"/>
          <w:szCs w:val="24"/>
        </w:rPr>
        <w:t>There were no signs of root/ foliar/insect stress during study period.</w:t>
      </w:r>
      <w:r w:rsidR="005639EF" w:rsidRPr="00190E54">
        <w:rPr>
          <w:rFonts w:ascii="Times New Roman" w:hAnsi="Times New Roman" w:cs="Times New Roman"/>
          <w:sz w:val="24"/>
          <w:szCs w:val="24"/>
        </w:rPr>
        <w:t xml:space="preserve"> </w:t>
      </w:r>
      <w:r w:rsidR="007D46F7" w:rsidRPr="00190E54">
        <w:rPr>
          <w:rFonts w:ascii="Times New Roman" w:hAnsi="Times New Roman" w:cs="Times New Roman"/>
          <w:sz w:val="24"/>
          <w:szCs w:val="24"/>
        </w:rPr>
        <w:t xml:space="preserve">The </w:t>
      </w:r>
      <w:r w:rsidR="00E73CE5" w:rsidRPr="00190E54">
        <w:rPr>
          <w:rFonts w:ascii="Times New Roman" w:hAnsi="Times New Roman" w:cs="Times New Roman"/>
          <w:sz w:val="24"/>
          <w:szCs w:val="24"/>
        </w:rPr>
        <w:t>use</w:t>
      </w:r>
      <w:r w:rsidR="007D46F7" w:rsidRPr="00190E54">
        <w:rPr>
          <w:rFonts w:ascii="Times New Roman" w:hAnsi="Times New Roman" w:cs="Times New Roman"/>
          <w:sz w:val="24"/>
          <w:szCs w:val="24"/>
        </w:rPr>
        <w:t xml:space="preserve"> of liquid compost and mycorrhizal fungi in the greenhouse production setting as part of a nutrient management plan should be fully considered.  </w:t>
      </w:r>
      <w:r w:rsidR="00E73CE5" w:rsidRPr="00190E54">
        <w:rPr>
          <w:rFonts w:ascii="Times New Roman" w:hAnsi="Times New Roman" w:cs="Times New Roman"/>
          <w:sz w:val="24"/>
          <w:szCs w:val="24"/>
        </w:rPr>
        <w:t xml:space="preserve">This field trial indicated the potential for this formulation to both stimulate plant growth and </w:t>
      </w:r>
      <w:r w:rsidR="00E65D1B">
        <w:rPr>
          <w:rFonts w:ascii="Times New Roman" w:hAnsi="Times New Roman" w:cs="Times New Roman"/>
          <w:sz w:val="24"/>
          <w:szCs w:val="24"/>
        </w:rPr>
        <w:t xml:space="preserve">possibly </w:t>
      </w:r>
      <w:r w:rsidR="00E73CE5" w:rsidRPr="00190E54">
        <w:rPr>
          <w:rFonts w:ascii="Times New Roman" w:hAnsi="Times New Roman" w:cs="Times New Roman"/>
          <w:sz w:val="24"/>
          <w:szCs w:val="24"/>
        </w:rPr>
        <w:t xml:space="preserve">reduce disease pressure. This could lead to </w:t>
      </w:r>
      <w:r w:rsidR="005639EF" w:rsidRPr="00190E54">
        <w:rPr>
          <w:rFonts w:ascii="Times New Roman" w:hAnsi="Times New Roman" w:cs="Times New Roman"/>
          <w:sz w:val="24"/>
          <w:szCs w:val="24"/>
        </w:rPr>
        <w:t>r</w:t>
      </w:r>
      <w:r w:rsidR="00E73CE5" w:rsidRPr="00190E54">
        <w:rPr>
          <w:rFonts w:ascii="Times New Roman" w:hAnsi="Times New Roman" w:cs="Times New Roman"/>
          <w:sz w:val="24"/>
          <w:szCs w:val="24"/>
        </w:rPr>
        <w:t xml:space="preserve">educed use </w:t>
      </w:r>
      <w:r w:rsidR="00C6271A">
        <w:rPr>
          <w:rFonts w:ascii="Times New Roman" w:hAnsi="Times New Roman" w:cs="Times New Roman"/>
          <w:sz w:val="24"/>
          <w:szCs w:val="24"/>
        </w:rPr>
        <w:t>of industrial</w:t>
      </w:r>
      <w:r w:rsidR="00B73917" w:rsidRPr="00190E54">
        <w:rPr>
          <w:rFonts w:ascii="Times New Roman" w:hAnsi="Times New Roman" w:cs="Times New Roman"/>
          <w:sz w:val="24"/>
          <w:szCs w:val="24"/>
        </w:rPr>
        <w:t xml:space="preserve"> </w:t>
      </w:r>
      <w:r w:rsidR="00E73CE5" w:rsidRPr="00190E54">
        <w:rPr>
          <w:rFonts w:ascii="Times New Roman" w:hAnsi="Times New Roman" w:cs="Times New Roman"/>
          <w:sz w:val="24"/>
          <w:szCs w:val="24"/>
        </w:rPr>
        <w:t xml:space="preserve">fertilizers </w:t>
      </w:r>
      <w:r w:rsidR="00C6271A">
        <w:rPr>
          <w:rFonts w:ascii="Times New Roman" w:hAnsi="Times New Roman" w:cs="Times New Roman"/>
          <w:sz w:val="24"/>
          <w:szCs w:val="24"/>
        </w:rPr>
        <w:t>p</w:t>
      </w:r>
      <w:r w:rsidR="00E73CE5" w:rsidRPr="00190E54">
        <w:rPr>
          <w:rFonts w:ascii="Times New Roman" w:hAnsi="Times New Roman" w:cs="Times New Roman"/>
          <w:sz w:val="24"/>
          <w:szCs w:val="24"/>
        </w:rPr>
        <w:t xml:space="preserve">roviding savings </w:t>
      </w:r>
      <w:r w:rsidR="005639EF" w:rsidRPr="00190E54">
        <w:rPr>
          <w:rFonts w:ascii="Times New Roman" w:hAnsi="Times New Roman" w:cs="Times New Roman"/>
          <w:sz w:val="24"/>
          <w:szCs w:val="24"/>
        </w:rPr>
        <w:t>with</w:t>
      </w:r>
      <w:r w:rsidR="00E73CE5" w:rsidRPr="00190E54">
        <w:rPr>
          <w:rFonts w:ascii="Times New Roman" w:hAnsi="Times New Roman" w:cs="Times New Roman"/>
          <w:sz w:val="24"/>
          <w:szCs w:val="24"/>
        </w:rPr>
        <w:t xml:space="preserve"> improved plant health.</w:t>
      </w:r>
    </w:p>
    <w:p w:rsidR="007D46F7" w:rsidRPr="00190E54" w:rsidRDefault="007D46F7" w:rsidP="000125B5">
      <w:pPr>
        <w:pStyle w:val="NoSpacing"/>
        <w:jc w:val="both"/>
        <w:rPr>
          <w:rFonts w:ascii="Times New Roman" w:hAnsi="Times New Roman" w:cs="Times New Roman"/>
          <w:sz w:val="24"/>
          <w:szCs w:val="24"/>
        </w:rPr>
      </w:pPr>
    </w:p>
    <w:p w:rsidR="007D46F7" w:rsidRPr="00190E54" w:rsidRDefault="007D46F7" w:rsidP="000125B5">
      <w:pPr>
        <w:pStyle w:val="NoSpacing"/>
        <w:jc w:val="both"/>
        <w:rPr>
          <w:rFonts w:ascii="Times New Roman" w:hAnsi="Times New Roman" w:cs="Times New Roman"/>
          <w:sz w:val="24"/>
          <w:szCs w:val="24"/>
        </w:rPr>
      </w:pPr>
    </w:p>
    <w:p w:rsidR="007D46F7" w:rsidRDefault="007D46F7" w:rsidP="000125B5">
      <w:pPr>
        <w:pStyle w:val="NoSpacing"/>
        <w:jc w:val="both"/>
      </w:pPr>
    </w:p>
    <w:p w:rsidR="007D46F7" w:rsidRDefault="007D46F7" w:rsidP="000125B5">
      <w:pPr>
        <w:pStyle w:val="NoSpacing"/>
        <w:jc w:val="both"/>
      </w:pPr>
    </w:p>
    <w:p w:rsidR="000A6CD1" w:rsidRDefault="000A6CD1"/>
    <w:p w:rsidR="000125B5" w:rsidRDefault="000125B5"/>
    <w:p w:rsidR="000125B5" w:rsidRDefault="000125B5"/>
    <w:p w:rsidR="000125B5" w:rsidRDefault="000125B5"/>
    <w:p w:rsidR="000125B5" w:rsidRDefault="000125B5"/>
    <w:p w:rsidR="000125B5" w:rsidRDefault="000125B5"/>
    <w:p w:rsidR="000125B5" w:rsidRDefault="000125B5"/>
    <w:p w:rsidR="000125B5" w:rsidRDefault="000125B5"/>
    <w:p w:rsidR="000125B5" w:rsidRDefault="000125B5"/>
    <w:p w:rsidR="000125B5" w:rsidRDefault="000125B5"/>
    <w:p w:rsidR="00BC584D" w:rsidRPr="00190E54" w:rsidRDefault="000125B5">
      <w:pPr>
        <w:rPr>
          <w:rFonts w:ascii="Times New Roman" w:hAnsi="Times New Roman" w:cs="Times New Roman"/>
          <w:i/>
          <w:sz w:val="24"/>
          <w:szCs w:val="24"/>
          <w:u w:val="single"/>
        </w:rPr>
      </w:pPr>
      <w:r w:rsidRPr="00190E54">
        <w:rPr>
          <w:rFonts w:ascii="Times New Roman" w:hAnsi="Times New Roman" w:cs="Times New Roman"/>
          <w:i/>
          <w:sz w:val="24"/>
          <w:szCs w:val="24"/>
          <w:u w:val="single"/>
        </w:rPr>
        <w:t>Introduction</w:t>
      </w:r>
    </w:p>
    <w:p w:rsidR="00833E9F" w:rsidRPr="00190E54" w:rsidRDefault="002B5A93" w:rsidP="00833E9F">
      <w:pPr>
        <w:pStyle w:val="NoSpacing"/>
        <w:jc w:val="both"/>
        <w:rPr>
          <w:rFonts w:ascii="Times New Roman" w:hAnsi="Times New Roman" w:cs="Times New Roman"/>
          <w:sz w:val="24"/>
          <w:szCs w:val="24"/>
        </w:rPr>
      </w:pPr>
      <w:r w:rsidRPr="00190E54">
        <w:rPr>
          <w:rFonts w:ascii="Times New Roman" w:hAnsi="Times New Roman" w:cs="Times New Roman"/>
          <w:sz w:val="24"/>
          <w:szCs w:val="24"/>
        </w:rPr>
        <w:t xml:space="preserve">A typical container nursery may grow 50-250 species of plants at any one time, with numerous cultivars of each species, depending upon market demand and the ability of employees to care for a diverse range of plant requirements. </w:t>
      </w:r>
      <w:r w:rsidR="00B06874" w:rsidRPr="00190E54">
        <w:rPr>
          <w:rFonts w:ascii="Times New Roman" w:hAnsi="Times New Roman" w:cs="Times New Roman"/>
          <w:sz w:val="24"/>
          <w:szCs w:val="24"/>
        </w:rPr>
        <w:t>Container produced plants are more susceptible to stresses than field grown plants due to the limited root space, soilless substrate and dependency on irrigation</w:t>
      </w:r>
      <w:r w:rsidR="0007413B" w:rsidRPr="00190E54">
        <w:rPr>
          <w:rFonts w:ascii="Times New Roman" w:hAnsi="Times New Roman" w:cs="Times New Roman"/>
          <w:sz w:val="24"/>
          <w:szCs w:val="24"/>
        </w:rPr>
        <w:t xml:space="preserve">. </w:t>
      </w:r>
      <w:r w:rsidRPr="00190E54">
        <w:rPr>
          <w:rFonts w:ascii="Times New Roman" w:hAnsi="Times New Roman" w:cs="Times New Roman"/>
          <w:sz w:val="24"/>
          <w:szCs w:val="24"/>
        </w:rPr>
        <w:t xml:space="preserve">Finding a perfect balance between the media in the pot that will hold both water and minerals supplied </w:t>
      </w:r>
      <w:r w:rsidR="004B7DB2" w:rsidRPr="00190E54">
        <w:rPr>
          <w:rFonts w:ascii="Times New Roman" w:hAnsi="Times New Roman" w:cs="Times New Roman"/>
          <w:sz w:val="24"/>
          <w:szCs w:val="24"/>
        </w:rPr>
        <w:t xml:space="preserve">(less leaching) </w:t>
      </w:r>
      <w:r w:rsidRPr="00190E54">
        <w:rPr>
          <w:rFonts w:ascii="Times New Roman" w:hAnsi="Times New Roman" w:cs="Times New Roman"/>
          <w:sz w:val="24"/>
          <w:szCs w:val="24"/>
        </w:rPr>
        <w:t>and</w:t>
      </w:r>
      <w:r w:rsidR="00A477EE" w:rsidRPr="00190E54">
        <w:rPr>
          <w:rFonts w:ascii="Times New Roman" w:hAnsi="Times New Roman" w:cs="Times New Roman"/>
          <w:sz w:val="24"/>
          <w:szCs w:val="24"/>
        </w:rPr>
        <w:t xml:space="preserve"> </w:t>
      </w:r>
      <w:r w:rsidR="0007413B" w:rsidRPr="00190E54">
        <w:rPr>
          <w:rFonts w:ascii="Times New Roman" w:hAnsi="Times New Roman" w:cs="Times New Roman"/>
          <w:sz w:val="24"/>
          <w:szCs w:val="24"/>
        </w:rPr>
        <w:t xml:space="preserve">at the same time </w:t>
      </w:r>
      <w:r w:rsidRPr="00190E54">
        <w:rPr>
          <w:rFonts w:ascii="Times New Roman" w:hAnsi="Times New Roman" w:cs="Times New Roman"/>
          <w:sz w:val="24"/>
          <w:szCs w:val="24"/>
        </w:rPr>
        <w:t>provide porosity</w:t>
      </w:r>
      <w:r w:rsidR="00B06874" w:rsidRPr="00190E54">
        <w:rPr>
          <w:rFonts w:ascii="Times New Roman" w:hAnsi="Times New Roman" w:cs="Times New Roman"/>
          <w:sz w:val="24"/>
          <w:szCs w:val="24"/>
        </w:rPr>
        <w:t xml:space="preserve"> (air space)</w:t>
      </w:r>
      <w:r w:rsidRPr="00190E54">
        <w:rPr>
          <w:rFonts w:ascii="Times New Roman" w:hAnsi="Times New Roman" w:cs="Times New Roman"/>
          <w:sz w:val="24"/>
          <w:szCs w:val="24"/>
        </w:rPr>
        <w:t xml:space="preserve"> </w:t>
      </w:r>
      <w:r w:rsidR="004B7DB2" w:rsidRPr="00190E54">
        <w:rPr>
          <w:rFonts w:ascii="Times New Roman" w:hAnsi="Times New Roman" w:cs="Times New Roman"/>
          <w:sz w:val="24"/>
          <w:szCs w:val="24"/>
        </w:rPr>
        <w:t xml:space="preserve">with the demands of specific crops is challenging. </w:t>
      </w:r>
      <w:r w:rsidR="00BC584D" w:rsidRPr="00190E54">
        <w:rPr>
          <w:rFonts w:ascii="Times New Roman" w:hAnsi="Times New Roman" w:cs="Times New Roman"/>
          <w:sz w:val="24"/>
          <w:szCs w:val="24"/>
        </w:rPr>
        <w:t xml:space="preserve"> </w:t>
      </w:r>
      <w:r w:rsidR="00B06874" w:rsidRPr="00190E54">
        <w:rPr>
          <w:rFonts w:ascii="Times New Roman" w:hAnsi="Times New Roman" w:cs="Times New Roman"/>
          <w:sz w:val="24"/>
          <w:szCs w:val="24"/>
        </w:rPr>
        <w:t xml:space="preserve">The typical methods of providing nutrients in greenhouse crop production are: continuous liquid nutrient feed or a slow release dry fertilizer. </w:t>
      </w:r>
      <w:r w:rsidR="0007413B" w:rsidRPr="00190E54">
        <w:rPr>
          <w:rFonts w:ascii="Times New Roman" w:hAnsi="Times New Roman" w:cs="Times New Roman"/>
          <w:sz w:val="24"/>
          <w:szCs w:val="24"/>
        </w:rPr>
        <w:t xml:space="preserve">A common problem in both these methods is </w:t>
      </w:r>
      <w:r w:rsidR="005639EF" w:rsidRPr="00190E54">
        <w:rPr>
          <w:rFonts w:ascii="Times New Roman" w:hAnsi="Times New Roman" w:cs="Times New Roman"/>
          <w:sz w:val="24"/>
          <w:szCs w:val="24"/>
        </w:rPr>
        <w:t>t</w:t>
      </w:r>
      <w:r w:rsidR="0007413B" w:rsidRPr="00190E54">
        <w:rPr>
          <w:rFonts w:ascii="Times New Roman" w:hAnsi="Times New Roman" w:cs="Times New Roman"/>
          <w:sz w:val="24"/>
          <w:szCs w:val="24"/>
        </w:rPr>
        <w:t xml:space="preserve">he loss of minerals through leaching or the buildup of salts in the pot that burn newly developing roots. </w:t>
      </w:r>
    </w:p>
    <w:p w:rsidR="00833E9F" w:rsidRPr="00190E54" w:rsidRDefault="00833E9F" w:rsidP="00833E9F">
      <w:pPr>
        <w:pStyle w:val="NoSpacing"/>
        <w:jc w:val="both"/>
        <w:rPr>
          <w:rFonts w:ascii="Times New Roman" w:hAnsi="Times New Roman" w:cs="Times New Roman"/>
          <w:sz w:val="24"/>
          <w:szCs w:val="24"/>
        </w:rPr>
      </w:pPr>
    </w:p>
    <w:p w:rsidR="00B06874" w:rsidRPr="00190E54" w:rsidRDefault="0007413B" w:rsidP="009C0C61">
      <w:pPr>
        <w:pStyle w:val="NoSpacing"/>
        <w:jc w:val="both"/>
        <w:rPr>
          <w:rFonts w:ascii="Times New Roman" w:hAnsi="Times New Roman" w:cs="Times New Roman"/>
          <w:sz w:val="24"/>
          <w:szCs w:val="24"/>
        </w:rPr>
      </w:pPr>
      <w:r w:rsidRPr="00190E54">
        <w:rPr>
          <w:rFonts w:ascii="Times New Roman" w:hAnsi="Times New Roman" w:cs="Times New Roman"/>
          <w:sz w:val="24"/>
          <w:szCs w:val="24"/>
        </w:rPr>
        <w:t xml:space="preserve">This study using liquid compost and mycorrhizae </w:t>
      </w:r>
      <w:r w:rsidR="00A477EE" w:rsidRPr="00190E54">
        <w:rPr>
          <w:rFonts w:ascii="Times New Roman" w:hAnsi="Times New Roman" w:cs="Times New Roman"/>
          <w:sz w:val="24"/>
          <w:szCs w:val="24"/>
        </w:rPr>
        <w:t xml:space="preserve">as a drench alongside the typical nutrient program of chrysanthemums hopes to replicate positive results found in </w:t>
      </w:r>
      <w:r w:rsidR="00833E9F" w:rsidRPr="00190E54">
        <w:rPr>
          <w:rFonts w:ascii="Times New Roman" w:hAnsi="Times New Roman" w:cs="Times New Roman"/>
          <w:sz w:val="24"/>
          <w:szCs w:val="24"/>
        </w:rPr>
        <w:t>o</w:t>
      </w:r>
      <w:r w:rsidR="00A477EE" w:rsidRPr="00190E54">
        <w:rPr>
          <w:rFonts w:ascii="Times New Roman" w:hAnsi="Times New Roman" w:cs="Times New Roman"/>
          <w:sz w:val="24"/>
          <w:szCs w:val="24"/>
        </w:rPr>
        <w:t>rganic garden</w:t>
      </w:r>
      <w:r w:rsidR="009C0C61" w:rsidRPr="00190E54">
        <w:rPr>
          <w:rFonts w:ascii="Times New Roman" w:hAnsi="Times New Roman" w:cs="Times New Roman"/>
          <w:sz w:val="24"/>
          <w:szCs w:val="24"/>
        </w:rPr>
        <w:t xml:space="preserve"> </w:t>
      </w:r>
      <w:r w:rsidR="00A477EE" w:rsidRPr="00190E54">
        <w:rPr>
          <w:rFonts w:ascii="Times New Roman" w:hAnsi="Times New Roman" w:cs="Times New Roman"/>
          <w:sz w:val="24"/>
          <w:szCs w:val="24"/>
        </w:rPr>
        <w:t xml:space="preserve">setting. </w:t>
      </w:r>
      <w:r w:rsidR="00833E9F" w:rsidRPr="00190E54">
        <w:rPr>
          <w:rFonts w:ascii="Times New Roman" w:hAnsi="Times New Roman" w:cs="Times New Roman"/>
          <w:sz w:val="24"/>
          <w:szCs w:val="24"/>
        </w:rPr>
        <w:t>It is hypothesized</w:t>
      </w:r>
      <w:r w:rsidR="00FA5555">
        <w:rPr>
          <w:rFonts w:ascii="Times New Roman" w:hAnsi="Times New Roman" w:cs="Times New Roman"/>
          <w:sz w:val="24"/>
          <w:szCs w:val="24"/>
        </w:rPr>
        <w:t xml:space="preserve"> </w:t>
      </w:r>
      <w:r w:rsidR="00833E9F" w:rsidRPr="00190E54">
        <w:rPr>
          <w:rFonts w:ascii="Times New Roman" w:hAnsi="Times New Roman" w:cs="Times New Roman"/>
          <w:sz w:val="24"/>
          <w:szCs w:val="24"/>
        </w:rPr>
        <w:t xml:space="preserve">that the compost tea with associated microorganisms will add efficiency to the breakdown of nutrient elements and the </w:t>
      </w:r>
      <w:r w:rsidR="009C0C61" w:rsidRPr="00190E54">
        <w:rPr>
          <w:rFonts w:ascii="Times New Roman" w:hAnsi="Times New Roman" w:cs="Times New Roman"/>
          <w:sz w:val="24"/>
          <w:szCs w:val="24"/>
        </w:rPr>
        <w:t>mycorrhizae provide larger root network and zone to absorb those nutrients. Providing efficiency for plant nutrient uptake should both reduce the amounts of fertilizer needed and minimize the amounts of nutrient runoff through the pot</w:t>
      </w:r>
      <w:r w:rsidR="00C80E2D" w:rsidRPr="00190E54">
        <w:rPr>
          <w:rFonts w:ascii="Times New Roman" w:hAnsi="Times New Roman" w:cs="Times New Roman"/>
          <w:sz w:val="24"/>
          <w:szCs w:val="24"/>
        </w:rPr>
        <w:t xml:space="preserve"> saving both time and money for greenhouse growers as well as better management of fertilizer runoff. </w:t>
      </w:r>
    </w:p>
    <w:p w:rsidR="00C80E2D" w:rsidRPr="00190E54" w:rsidRDefault="00C80E2D" w:rsidP="009C0C61">
      <w:pPr>
        <w:pStyle w:val="NoSpacing"/>
        <w:jc w:val="both"/>
        <w:rPr>
          <w:rFonts w:ascii="Times New Roman" w:hAnsi="Times New Roman" w:cs="Times New Roman"/>
          <w:sz w:val="24"/>
          <w:szCs w:val="24"/>
        </w:rPr>
      </w:pPr>
    </w:p>
    <w:p w:rsidR="00C80E2D" w:rsidRPr="00190E54" w:rsidRDefault="00C80E2D" w:rsidP="009C0C61">
      <w:pPr>
        <w:pStyle w:val="NoSpacing"/>
        <w:jc w:val="both"/>
        <w:rPr>
          <w:rFonts w:ascii="Times New Roman" w:hAnsi="Times New Roman" w:cs="Times New Roman"/>
          <w:sz w:val="24"/>
          <w:szCs w:val="24"/>
        </w:rPr>
      </w:pPr>
    </w:p>
    <w:p w:rsidR="00C80E2D" w:rsidRPr="00190E54" w:rsidRDefault="00C80E2D" w:rsidP="009C0C61">
      <w:pPr>
        <w:pStyle w:val="NoSpacing"/>
        <w:jc w:val="both"/>
        <w:rPr>
          <w:rFonts w:ascii="Times New Roman" w:hAnsi="Times New Roman" w:cs="Times New Roman"/>
          <w:i/>
          <w:sz w:val="24"/>
          <w:szCs w:val="24"/>
          <w:u w:val="single"/>
        </w:rPr>
      </w:pPr>
      <w:r w:rsidRPr="00190E54">
        <w:rPr>
          <w:rFonts w:ascii="Times New Roman" w:hAnsi="Times New Roman" w:cs="Times New Roman"/>
          <w:i/>
          <w:sz w:val="24"/>
          <w:szCs w:val="24"/>
          <w:u w:val="single"/>
        </w:rPr>
        <w:t>Literature review</w:t>
      </w:r>
    </w:p>
    <w:p w:rsidR="00C80E2D" w:rsidRPr="00190E54" w:rsidRDefault="00C80E2D" w:rsidP="009C0C61">
      <w:pPr>
        <w:pStyle w:val="NoSpacing"/>
        <w:jc w:val="both"/>
        <w:rPr>
          <w:rFonts w:ascii="Times New Roman" w:hAnsi="Times New Roman" w:cs="Times New Roman"/>
          <w:sz w:val="24"/>
          <w:szCs w:val="24"/>
        </w:rPr>
      </w:pPr>
    </w:p>
    <w:p w:rsidR="000125B5" w:rsidRPr="00190E54" w:rsidRDefault="00F91FC3" w:rsidP="00F37C0D">
      <w:pPr>
        <w:jc w:val="both"/>
        <w:rPr>
          <w:rFonts w:ascii="Times New Roman" w:hAnsi="Times New Roman" w:cs="Times New Roman"/>
          <w:sz w:val="24"/>
          <w:szCs w:val="24"/>
        </w:rPr>
      </w:pPr>
      <w:r w:rsidRPr="00190E54">
        <w:rPr>
          <w:rFonts w:ascii="Times New Roman" w:hAnsi="Times New Roman" w:cs="Times New Roman"/>
          <w:sz w:val="24"/>
          <w:szCs w:val="24"/>
        </w:rPr>
        <w:t>Compost is popular in organic agriculture because it replaces synthetic fertilizers and improves soil fertility. New compost derived products such as compost tea</w:t>
      </w:r>
      <w:r w:rsidR="005B4CC9" w:rsidRPr="00190E54">
        <w:rPr>
          <w:rFonts w:ascii="Times New Roman" w:hAnsi="Times New Roman" w:cs="Times New Roman"/>
          <w:sz w:val="24"/>
          <w:szCs w:val="24"/>
        </w:rPr>
        <w:t xml:space="preserve"> although less common have shown great interest and have expanded throughout the world. (</w:t>
      </w:r>
      <w:r w:rsidR="00E13F48" w:rsidRPr="00190E54">
        <w:rPr>
          <w:rFonts w:ascii="Times New Roman" w:hAnsi="Times New Roman" w:cs="Times New Roman"/>
          <w:sz w:val="24"/>
          <w:szCs w:val="24"/>
        </w:rPr>
        <w:t>Scotti</w:t>
      </w:r>
      <w:r w:rsidR="005B4CC9" w:rsidRPr="00190E54">
        <w:rPr>
          <w:rFonts w:ascii="Times New Roman" w:hAnsi="Times New Roman" w:cs="Times New Roman"/>
          <w:sz w:val="24"/>
          <w:szCs w:val="24"/>
        </w:rPr>
        <w:t xml:space="preserve">) Compost teas are obtained by aerobic liquid extraction of quality compost that results in dissolved organic and inorganic molecules and useful microorganisms. </w:t>
      </w:r>
      <w:r w:rsidR="00E13F48" w:rsidRPr="00190E54">
        <w:rPr>
          <w:rFonts w:ascii="Times New Roman" w:hAnsi="Times New Roman" w:cs="Times New Roman"/>
          <w:sz w:val="24"/>
          <w:szCs w:val="24"/>
        </w:rPr>
        <w:t>These molecules and microorganisms play a crucial role in the bio-stimulation of plants by upgrading their functioning as it relates to improved plant defense and nutrient uptake. (Liquori)</w:t>
      </w:r>
    </w:p>
    <w:p w:rsidR="00F50741" w:rsidRPr="00190E54" w:rsidRDefault="007F0578" w:rsidP="00727809">
      <w:pPr>
        <w:pStyle w:val="NoSpacing"/>
        <w:jc w:val="both"/>
        <w:rPr>
          <w:rFonts w:ascii="Times New Roman" w:hAnsi="Times New Roman" w:cs="Times New Roman"/>
          <w:sz w:val="24"/>
          <w:szCs w:val="24"/>
        </w:rPr>
      </w:pPr>
      <w:r w:rsidRPr="00190E54">
        <w:rPr>
          <w:rFonts w:ascii="Times New Roman" w:hAnsi="Times New Roman" w:cs="Times New Roman"/>
          <w:sz w:val="24"/>
          <w:szCs w:val="24"/>
        </w:rPr>
        <w:t xml:space="preserve">Mycorrhiza refers to a group of fungi which form a symbiotic relationship with the plant roots. Most plants convert forty percent or more of their energy produced by photosynthesis into roots that </w:t>
      </w:r>
      <w:r w:rsidR="005E66A2" w:rsidRPr="00190E54">
        <w:rPr>
          <w:rFonts w:ascii="Times New Roman" w:hAnsi="Times New Roman" w:cs="Times New Roman"/>
          <w:sz w:val="24"/>
          <w:szCs w:val="24"/>
        </w:rPr>
        <w:t>feed</w:t>
      </w:r>
      <w:r w:rsidRPr="00190E54">
        <w:rPr>
          <w:rFonts w:ascii="Times New Roman" w:hAnsi="Times New Roman" w:cs="Times New Roman"/>
          <w:sz w:val="24"/>
          <w:szCs w:val="24"/>
        </w:rPr>
        <w:t xml:space="preserve"> and stimulate </w:t>
      </w:r>
      <w:r w:rsidR="00F37C0D" w:rsidRPr="00190E54">
        <w:rPr>
          <w:rFonts w:ascii="Times New Roman" w:hAnsi="Times New Roman" w:cs="Times New Roman"/>
          <w:sz w:val="24"/>
          <w:szCs w:val="24"/>
        </w:rPr>
        <w:t xml:space="preserve">these fungi and </w:t>
      </w:r>
      <w:r w:rsidRPr="00190E54">
        <w:rPr>
          <w:rFonts w:ascii="Times New Roman" w:hAnsi="Times New Roman" w:cs="Times New Roman"/>
          <w:sz w:val="24"/>
          <w:szCs w:val="24"/>
        </w:rPr>
        <w:t xml:space="preserve">soil microbes.  </w:t>
      </w:r>
      <w:r w:rsidR="005E66A2" w:rsidRPr="00190E54">
        <w:rPr>
          <w:rFonts w:ascii="Times New Roman" w:hAnsi="Times New Roman" w:cs="Times New Roman"/>
          <w:sz w:val="24"/>
          <w:szCs w:val="24"/>
        </w:rPr>
        <w:t>(Amaranthus) Plants in natural systems provide the sugars needed for these microbes that decompose organic matter that promotes soil health.</w:t>
      </w:r>
      <w:r w:rsidR="00F37C0D" w:rsidRPr="00190E54">
        <w:rPr>
          <w:rFonts w:ascii="Times New Roman" w:hAnsi="Times New Roman" w:cs="Times New Roman"/>
          <w:sz w:val="24"/>
          <w:szCs w:val="24"/>
        </w:rPr>
        <w:t xml:space="preserve"> Mycorrhiza fungi grow through the soil as fine hair-like strands called hyphae. These strands form a network to absorb water and minerals for the soil and then transport back to the roots. Research has shown that mycorrhizae are especially important in making important minerals more soluble and available to plants. </w:t>
      </w:r>
      <w:r w:rsidR="00F50741" w:rsidRPr="00190E54">
        <w:rPr>
          <w:rFonts w:ascii="Times New Roman" w:hAnsi="Times New Roman" w:cs="Times New Roman"/>
          <w:sz w:val="24"/>
          <w:szCs w:val="24"/>
        </w:rPr>
        <w:t xml:space="preserve">On their own, plant roots can only absorb a small volume of nutrients before they hit their depletion zone around their roots. This depletion zone is particularly important for immobile nutrients such as phosphorus.  Mycorrhizae overcome this by increasing </w:t>
      </w:r>
      <w:r w:rsidR="00F50741" w:rsidRPr="00190E54">
        <w:rPr>
          <w:rFonts w:ascii="Times New Roman" w:hAnsi="Times New Roman" w:cs="Times New Roman"/>
          <w:sz w:val="24"/>
          <w:szCs w:val="24"/>
        </w:rPr>
        <w:lastRenderedPageBreak/>
        <w:t>the absorption area of plant ro</w:t>
      </w:r>
      <w:r w:rsidR="00AB491A" w:rsidRPr="00190E54">
        <w:rPr>
          <w:rFonts w:ascii="Times New Roman" w:hAnsi="Times New Roman" w:cs="Times New Roman"/>
          <w:sz w:val="24"/>
          <w:szCs w:val="24"/>
        </w:rPr>
        <w:t>o</w:t>
      </w:r>
      <w:r w:rsidR="00F50741" w:rsidRPr="00190E54">
        <w:rPr>
          <w:rFonts w:ascii="Times New Roman" w:hAnsi="Times New Roman" w:cs="Times New Roman"/>
          <w:sz w:val="24"/>
          <w:szCs w:val="24"/>
        </w:rPr>
        <w:t xml:space="preserve">ts by up to fifty times. (Racsko) Additionally, these fungi secrete organic acid that dissolves ions or </w:t>
      </w:r>
      <w:r w:rsidR="00727809" w:rsidRPr="00190E54">
        <w:rPr>
          <w:rFonts w:ascii="Times New Roman" w:hAnsi="Times New Roman" w:cs="Times New Roman"/>
          <w:sz w:val="24"/>
          <w:szCs w:val="24"/>
        </w:rPr>
        <w:t>releases them by ion exchange that convert them into bioavailable forms.</w:t>
      </w:r>
    </w:p>
    <w:p w:rsidR="00727809" w:rsidRPr="00190E54" w:rsidRDefault="00727809" w:rsidP="00727809">
      <w:pPr>
        <w:pStyle w:val="NoSpacing"/>
        <w:jc w:val="both"/>
        <w:rPr>
          <w:rFonts w:ascii="Times New Roman" w:hAnsi="Times New Roman" w:cs="Times New Roman"/>
          <w:sz w:val="24"/>
          <w:szCs w:val="24"/>
        </w:rPr>
      </w:pPr>
    </w:p>
    <w:p w:rsidR="00AB491A" w:rsidRPr="00190E54" w:rsidRDefault="00727809" w:rsidP="00727809">
      <w:pPr>
        <w:pStyle w:val="NoSpacing"/>
        <w:jc w:val="both"/>
        <w:rPr>
          <w:rFonts w:ascii="Times New Roman" w:hAnsi="Times New Roman" w:cs="Times New Roman"/>
          <w:sz w:val="24"/>
          <w:szCs w:val="24"/>
        </w:rPr>
      </w:pPr>
      <w:r w:rsidRPr="00190E54">
        <w:rPr>
          <w:rFonts w:ascii="Times New Roman" w:hAnsi="Times New Roman" w:cs="Times New Roman"/>
          <w:sz w:val="24"/>
          <w:szCs w:val="24"/>
        </w:rPr>
        <w:t>Most of the soilless mixes use</w:t>
      </w:r>
      <w:r w:rsidR="00E87E5B" w:rsidRPr="00190E54">
        <w:rPr>
          <w:rFonts w:ascii="Times New Roman" w:hAnsi="Times New Roman" w:cs="Times New Roman"/>
          <w:sz w:val="24"/>
          <w:szCs w:val="24"/>
        </w:rPr>
        <w:t>d</w:t>
      </w:r>
      <w:r w:rsidRPr="00190E54">
        <w:rPr>
          <w:rFonts w:ascii="Times New Roman" w:hAnsi="Times New Roman" w:cs="Times New Roman"/>
          <w:sz w:val="24"/>
          <w:szCs w:val="24"/>
        </w:rPr>
        <w:t xml:space="preserve"> by container growers are a mixture of bark, peat, perlite and vermiculite. The </w:t>
      </w:r>
      <w:r w:rsidR="00C80E2D" w:rsidRPr="00190E54">
        <w:rPr>
          <w:rFonts w:ascii="Times New Roman" w:hAnsi="Times New Roman" w:cs="Times New Roman"/>
          <w:sz w:val="24"/>
          <w:szCs w:val="24"/>
        </w:rPr>
        <w:t>problem with adding</w:t>
      </w:r>
      <w:r w:rsidR="00E87E5B" w:rsidRPr="00190E54">
        <w:rPr>
          <w:rFonts w:ascii="Times New Roman" w:hAnsi="Times New Roman" w:cs="Times New Roman"/>
          <w:sz w:val="24"/>
          <w:szCs w:val="24"/>
        </w:rPr>
        <w:t xml:space="preserve"> composted material in these formulations is getting a consistent blend or weight across the product offering. Therefore, most container mixes start with a starter charge of synthetic fertilizer to provide the initial nutrients needed for container plants. With the introduction of liquid compost and soluble and deliverable microbes, growers can add biology to the pot so to speak in a uniform and consistent program of delivery.</w:t>
      </w:r>
      <w:r w:rsidR="00C80E2D" w:rsidRPr="00190E54">
        <w:rPr>
          <w:rFonts w:ascii="Times New Roman" w:hAnsi="Times New Roman" w:cs="Times New Roman"/>
          <w:sz w:val="24"/>
          <w:szCs w:val="24"/>
        </w:rPr>
        <w:t xml:space="preserve"> </w:t>
      </w:r>
      <w:r w:rsidR="002077CD" w:rsidRPr="00190E54">
        <w:rPr>
          <w:rFonts w:ascii="Times New Roman" w:hAnsi="Times New Roman" w:cs="Times New Roman"/>
          <w:sz w:val="24"/>
          <w:szCs w:val="24"/>
        </w:rPr>
        <w:t xml:space="preserve">Cropping methods using compost teas have found significant positive yields. A lettuce and </w:t>
      </w:r>
      <w:r w:rsidR="00337E0D" w:rsidRPr="00190E54">
        <w:rPr>
          <w:rFonts w:ascii="Times New Roman" w:hAnsi="Times New Roman" w:cs="Times New Roman"/>
          <w:sz w:val="24"/>
          <w:szCs w:val="24"/>
        </w:rPr>
        <w:t>k</w:t>
      </w:r>
      <w:r w:rsidR="002077CD" w:rsidRPr="00190E54">
        <w:rPr>
          <w:rFonts w:ascii="Times New Roman" w:hAnsi="Times New Roman" w:cs="Times New Roman"/>
          <w:sz w:val="24"/>
          <w:szCs w:val="24"/>
        </w:rPr>
        <w:t xml:space="preserve">ohlrabi study found </w:t>
      </w:r>
      <w:r w:rsidR="00337E0D" w:rsidRPr="00190E54">
        <w:rPr>
          <w:rFonts w:ascii="Times New Roman" w:hAnsi="Times New Roman" w:cs="Times New Roman"/>
          <w:sz w:val="24"/>
          <w:szCs w:val="24"/>
        </w:rPr>
        <w:t xml:space="preserve">plant </w:t>
      </w:r>
      <w:r w:rsidR="002077CD" w:rsidRPr="00190E54">
        <w:rPr>
          <w:rFonts w:ascii="Times New Roman" w:hAnsi="Times New Roman" w:cs="Times New Roman"/>
          <w:sz w:val="24"/>
          <w:szCs w:val="24"/>
        </w:rPr>
        <w:t xml:space="preserve">weights to increase by approximately twenty to thirty percent. </w:t>
      </w:r>
      <w:r w:rsidR="00337E0D" w:rsidRPr="00190E54">
        <w:rPr>
          <w:rFonts w:ascii="Times New Roman" w:hAnsi="Times New Roman" w:cs="Times New Roman"/>
          <w:sz w:val="24"/>
          <w:szCs w:val="24"/>
        </w:rPr>
        <w:t xml:space="preserve">(Pane) A study found </w:t>
      </w:r>
      <w:r w:rsidR="00AB491A" w:rsidRPr="00190E54">
        <w:rPr>
          <w:rFonts w:ascii="Times New Roman" w:hAnsi="Times New Roman" w:cs="Times New Roman"/>
          <w:sz w:val="24"/>
          <w:szCs w:val="24"/>
        </w:rPr>
        <w:t xml:space="preserve">using mycorrhizal fungi inoculum on </w:t>
      </w:r>
      <w:r w:rsidR="00337E0D" w:rsidRPr="00190E54">
        <w:rPr>
          <w:rFonts w:ascii="Times New Roman" w:hAnsi="Times New Roman" w:cs="Times New Roman"/>
          <w:sz w:val="24"/>
          <w:szCs w:val="24"/>
        </w:rPr>
        <w:t>vegetables</w:t>
      </w:r>
      <w:r w:rsidR="003D4F0B" w:rsidRPr="00190E54">
        <w:rPr>
          <w:rFonts w:ascii="Times New Roman" w:hAnsi="Times New Roman" w:cs="Times New Roman"/>
          <w:sz w:val="24"/>
          <w:szCs w:val="24"/>
        </w:rPr>
        <w:t xml:space="preserve"> </w:t>
      </w:r>
      <w:r w:rsidR="00DB5F6A" w:rsidRPr="00190E54">
        <w:rPr>
          <w:rFonts w:ascii="Times New Roman" w:hAnsi="Times New Roman" w:cs="Times New Roman"/>
          <w:sz w:val="24"/>
          <w:szCs w:val="24"/>
        </w:rPr>
        <w:t xml:space="preserve">found </w:t>
      </w:r>
      <w:r w:rsidR="003D4F0B" w:rsidRPr="00190E54">
        <w:rPr>
          <w:rFonts w:ascii="Times New Roman" w:hAnsi="Times New Roman" w:cs="Times New Roman"/>
          <w:sz w:val="24"/>
          <w:szCs w:val="24"/>
        </w:rPr>
        <w:t>they</w:t>
      </w:r>
      <w:r w:rsidR="00337E0D" w:rsidRPr="00190E54">
        <w:rPr>
          <w:rFonts w:ascii="Times New Roman" w:hAnsi="Times New Roman" w:cs="Times New Roman"/>
          <w:sz w:val="24"/>
          <w:szCs w:val="24"/>
        </w:rPr>
        <w:t xml:space="preserve"> grew taller </w:t>
      </w:r>
      <w:r w:rsidR="00AB491A" w:rsidRPr="00190E54">
        <w:rPr>
          <w:rFonts w:ascii="Times New Roman" w:hAnsi="Times New Roman" w:cs="Times New Roman"/>
          <w:sz w:val="24"/>
          <w:szCs w:val="24"/>
        </w:rPr>
        <w:t>and m</w:t>
      </w:r>
      <w:r w:rsidR="00337E0D" w:rsidRPr="00190E54">
        <w:rPr>
          <w:rFonts w:ascii="Times New Roman" w:hAnsi="Times New Roman" w:cs="Times New Roman"/>
          <w:sz w:val="24"/>
          <w:szCs w:val="24"/>
        </w:rPr>
        <w:t>ore disease resistant. (University of California)</w:t>
      </w:r>
    </w:p>
    <w:p w:rsidR="00C80E2D" w:rsidRPr="00190E54" w:rsidRDefault="00C80E2D" w:rsidP="00727809">
      <w:pPr>
        <w:pStyle w:val="NoSpacing"/>
        <w:jc w:val="both"/>
        <w:rPr>
          <w:rFonts w:ascii="Times New Roman" w:hAnsi="Times New Roman" w:cs="Times New Roman"/>
          <w:sz w:val="24"/>
          <w:szCs w:val="24"/>
        </w:rPr>
      </w:pPr>
    </w:p>
    <w:p w:rsidR="00C80E2D" w:rsidRPr="00190E54" w:rsidRDefault="00C80E2D" w:rsidP="00727809">
      <w:pPr>
        <w:pStyle w:val="NoSpacing"/>
        <w:jc w:val="both"/>
        <w:rPr>
          <w:rFonts w:ascii="Times New Roman" w:hAnsi="Times New Roman" w:cs="Times New Roman"/>
          <w:i/>
          <w:sz w:val="24"/>
          <w:szCs w:val="24"/>
          <w:u w:val="single"/>
        </w:rPr>
      </w:pPr>
      <w:r w:rsidRPr="00190E54">
        <w:rPr>
          <w:rFonts w:ascii="Times New Roman" w:hAnsi="Times New Roman" w:cs="Times New Roman"/>
          <w:i/>
          <w:sz w:val="24"/>
          <w:szCs w:val="24"/>
          <w:u w:val="single"/>
        </w:rPr>
        <w:t>Materials and Methods</w:t>
      </w:r>
    </w:p>
    <w:p w:rsidR="005639EF" w:rsidRPr="00190E54" w:rsidRDefault="005639EF" w:rsidP="00727809">
      <w:pPr>
        <w:pStyle w:val="NoSpacing"/>
        <w:jc w:val="both"/>
        <w:rPr>
          <w:rFonts w:ascii="Times New Roman" w:hAnsi="Times New Roman" w:cs="Times New Roman"/>
          <w:i/>
          <w:sz w:val="24"/>
          <w:szCs w:val="24"/>
          <w:u w:val="single"/>
        </w:rPr>
      </w:pPr>
    </w:p>
    <w:p w:rsidR="005639EF" w:rsidRPr="00190E54" w:rsidRDefault="0028456A" w:rsidP="00727809">
      <w:pPr>
        <w:pStyle w:val="NoSpacing"/>
        <w:jc w:val="both"/>
        <w:rPr>
          <w:rFonts w:ascii="Times New Roman" w:hAnsi="Times New Roman" w:cs="Times New Roman"/>
          <w:sz w:val="24"/>
          <w:szCs w:val="24"/>
        </w:rPr>
      </w:pPr>
      <w:r w:rsidRPr="00190E54">
        <w:rPr>
          <w:rFonts w:ascii="Times New Roman" w:hAnsi="Times New Roman" w:cs="Times New Roman"/>
          <w:sz w:val="24"/>
          <w:szCs w:val="24"/>
        </w:rPr>
        <w:t>W</w:t>
      </w:r>
      <w:r w:rsidR="00956957" w:rsidRPr="00190E54">
        <w:rPr>
          <w:rFonts w:ascii="Times New Roman" w:hAnsi="Times New Roman" w:cs="Times New Roman"/>
          <w:sz w:val="24"/>
          <w:szCs w:val="24"/>
        </w:rPr>
        <w:t>e used thirty chrysanthemums (Chelsey White</w:t>
      </w:r>
      <w:r w:rsidR="006B631B" w:rsidRPr="00190E54">
        <w:rPr>
          <w:rFonts w:ascii="Times New Roman" w:hAnsi="Times New Roman" w:cs="Times New Roman"/>
          <w:sz w:val="24"/>
          <w:szCs w:val="24"/>
        </w:rPr>
        <w:t xml:space="preserve"> plugs</w:t>
      </w:r>
      <w:r w:rsidR="00956957" w:rsidRPr="00190E54">
        <w:rPr>
          <w:rFonts w:ascii="Times New Roman" w:hAnsi="Times New Roman" w:cs="Times New Roman"/>
          <w:sz w:val="24"/>
          <w:szCs w:val="24"/>
        </w:rPr>
        <w:t xml:space="preserve">) and </w:t>
      </w:r>
      <w:r w:rsidR="00D615FA" w:rsidRPr="00190E54">
        <w:rPr>
          <w:rFonts w:ascii="Times New Roman" w:hAnsi="Times New Roman" w:cs="Times New Roman"/>
          <w:sz w:val="24"/>
          <w:szCs w:val="24"/>
        </w:rPr>
        <w:t>planted</w:t>
      </w:r>
      <w:r w:rsidR="00956957" w:rsidRPr="00190E54">
        <w:rPr>
          <w:rFonts w:ascii="Times New Roman" w:hAnsi="Times New Roman" w:cs="Times New Roman"/>
          <w:sz w:val="24"/>
          <w:szCs w:val="24"/>
        </w:rPr>
        <w:t xml:space="preserve"> them </w:t>
      </w:r>
      <w:r w:rsidR="00D615FA" w:rsidRPr="00190E54">
        <w:rPr>
          <w:rFonts w:ascii="Times New Roman" w:hAnsi="Times New Roman" w:cs="Times New Roman"/>
          <w:sz w:val="24"/>
          <w:szCs w:val="24"/>
        </w:rPr>
        <w:t>in 10” mum pans o</w:t>
      </w:r>
      <w:r w:rsidR="00956957" w:rsidRPr="00190E54">
        <w:rPr>
          <w:rFonts w:ascii="Times New Roman" w:hAnsi="Times New Roman" w:cs="Times New Roman"/>
          <w:sz w:val="24"/>
          <w:szCs w:val="24"/>
        </w:rPr>
        <w:t xml:space="preserve">n raised </w:t>
      </w:r>
      <w:r w:rsidRPr="00190E54">
        <w:rPr>
          <w:rFonts w:ascii="Times New Roman" w:hAnsi="Times New Roman" w:cs="Times New Roman"/>
          <w:sz w:val="24"/>
          <w:szCs w:val="24"/>
        </w:rPr>
        <w:t xml:space="preserve">benches in greenhouse with shade covering for two weeks then moved </w:t>
      </w:r>
      <w:r w:rsidR="00956957" w:rsidRPr="00190E54">
        <w:rPr>
          <w:rFonts w:ascii="Times New Roman" w:hAnsi="Times New Roman" w:cs="Times New Roman"/>
          <w:sz w:val="24"/>
          <w:szCs w:val="24"/>
        </w:rPr>
        <w:t xml:space="preserve">outside </w:t>
      </w:r>
      <w:r w:rsidRPr="00190E54">
        <w:rPr>
          <w:rFonts w:ascii="Times New Roman" w:hAnsi="Times New Roman" w:cs="Times New Roman"/>
          <w:sz w:val="24"/>
          <w:szCs w:val="24"/>
        </w:rPr>
        <w:t xml:space="preserve">to </w:t>
      </w:r>
      <w:r w:rsidR="00956957" w:rsidRPr="00190E54">
        <w:rPr>
          <w:rFonts w:ascii="Times New Roman" w:hAnsi="Times New Roman" w:cs="Times New Roman"/>
          <w:sz w:val="24"/>
          <w:szCs w:val="24"/>
        </w:rPr>
        <w:t>benches with drip line irrigation</w:t>
      </w:r>
      <w:r w:rsidR="00D615FA" w:rsidRPr="00190E54">
        <w:rPr>
          <w:rFonts w:ascii="Times New Roman" w:hAnsi="Times New Roman" w:cs="Times New Roman"/>
          <w:sz w:val="24"/>
          <w:szCs w:val="24"/>
        </w:rPr>
        <w:t>.</w:t>
      </w:r>
      <w:r w:rsidR="00956957" w:rsidRPr="00190E54">
        <w:rPr>
          <w:rFonts w:ascii="Times New Roman" w:hAnsi="Times New Roman" w:cs="Times New Roman"/>
          <w:sz w:val="24"/>
          <w:szCs w:val="24"/>
        </w:rPr>
        <w:t xml:space="preserve"> We randomized the setting of 10 mums as the control (green-no treatment), 10 mums (red-one drench of compost tea/mycorrhizae) and 10 mums (blue- two drenches of compost tea/mycorrhizae). We used separate irrigation hose for the application of the compost tea to not contaminate the control. </w:t>
      </w:r>
    </w:p>
    <w:p w:rsidR="00956957" w:rsidRPr="00190E54" w:rsidRDefault="00956957" w:rsidP="00727809">
      <w:pPr>
        <w:pStyle w:val="NoSpacing"/>
        <w:jc w:val="both"/>
        <w:rPr>
          <w:rFonts w:ascii="Times New Roman" w:hAnsi="Times New Roman" w:cs="Times New Roman"/>
          <w:sz w:val="24"/>
          <w:szCs w:val="24"/>
        </w:rPr>
      </w:pPr>
    </w:p>
    <w:p w:rsidR="00956957" w:rsidRPr="00190E54" w:rsidRDefault="00F57401" w:rsidP="00727809">
      <w:pPr>
        <w:pStyle w:val="NoSpacing"/>
        <w:jc w:val="both"/>
        <w:rPr>
          <w:rFonts w:ascii="Times New Roman" w:hAnsi="Times New Roman" w:cs="Times New Roman"/>
          <w:sz w:val="24"/>
          <w:szCs w:val="24"/>
        </w:rPr>
      </w:pPr>
      <w:r w:rsidRPr="00190E54">
        <w:rPr>
          <w:rFonts w:ascii="Times New Roman" w:hAnsi="Times New Roman" w:cs="Times New Roman"/>
          <w:sz w:val="24"/>
          <w:szCs w:val="24"/>
        </w:rPr>
        <w:t xml:space="preserve">Holganix Bloom </w:t>
      </w:r>
      <w:r w:rsidR="00411227" w:rsidRPr="00190E54">
        <w:rPr>
          <w:rFonts w:ascii="Times New Roman" w:hAnsi="Times New Roman" w:cs="Times New Roman"/>
          <w:sz w:val="24"/>
          <w:szCs w:val="24"/>
        </w:rPr>
        <w:t>a product that is a compost tea with added mycorrhizae.</w:t>
      </w:r>
    </w:p>
    <w:p w:rsidR="00411227" w:rsidRPr="00411227" w:rsidRDefault="00411227" w:rsidP="00727809">
      <w:pPr>
        <w:pStyle w:val="NoSpacing"/>
        <w:jc w:val="both"/>
        <w:rPr>
          <w:b/>
        </w:rPr>
      </w:pPr>
      <w:r w:rsidRPr="00411227">
        <w:rPr>
          <w:b/>
        </w:rPr>
        <w:t xml:space="preserve"> __________________________________________________________________________</w:t>
      </w:r>
    </w:p>
    <w:p w:rsidR="00411227" w:rsidRDefault="00411227" w:rsidP="00727809">
      <w:pPr>
        <w:pStyle w:val="NoSpacing"/>
        <w:jc w:val="both"/>
      </w:pPr>
      <w:r>
        <w:rPr>
          <w:noProof/>
        </w:rPr>
        <w:drawing>
          <wp:inline distT="0" distB="0" distL="0" distR="0" wp14:anchorId="69169AB5" wp14:editId="6963B256">
            <wp:extent cx="4991100" cy="2089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63514" cy="2120105"/>
                    </a:xfrm>
                    <a:prstGeom prst="rect">
                      <a:avLst/>
                    </a:prstGeom>
                  </pic:spPr>
                </pic:pic>
              </a:graphicData>
            </a:graphic>
          </wp:inline>
        </w:drawing>
      </w:r>
    </w:p>
    <w:p w:rsidR="00411227" w:rsidRDefault="00411227" w:rsidP="00727809">
      <w:pPr>
        <w:pStyle w:val="NoSpacing"/>
        <w:jc w:val="both"/>
      </w:pPr>
    </w:p>
    <w:p w:rsidR="00190E54" w:rsidRDefault="00190E54" w:rsidP="00727809">
      <w:pPr>
        <w:pStyle w:val="NoSpacing"/>
        <w:jc w:val="both"/>
        <w:rPr>
          <w:rFonts w:ascii="Times New Roman" w:hAnsi="Times New Roman" w:cs="Times New Roman"/>
          <w:sz w:val="24"/>
          <w:szCs w:val="24"/>
        </w:rPr>
      </w:pPr>
    </w:p>
    <w:p w:rsidR="00190E54" w:rsidRDefault="00190E54" w:rsidP="00727809">
      <w:pPr>
        <w:pStyle w:val="NoSpacing"/>
        <w:jc w:val="both"/>
        <w:rPr>
          <w:rFonts w:ascii="Times New Roman" w:hAnsi="Times New Roman" w:cs="Times New Roman"/>
          <w:sz w:val="24"/>
          <w:szCs w:val="24"/>
        </w:rPr>
      </w:pPr>
    </w:p>
    <w:p w:rsidR="00190E54" w:rsidRDefault="00190E54" w:rsidP="00727809">
      <w:pPr>
        <w:pStyle w:val="NoSpacing"/>
        <w:jc w:val="both"/>
        <w:rPr>
          <w:rFonts w:ascii="Times New Roman" w:hAnsi="Times New Roman" w:cs="Times New Roman"/>
          <w:sz w:val="24"/>
          <w:szCs w:val="24"/>
        </w:rPr>
      </w:pPr>
    </w:p>
    <w:p w:rsidR="00190E54" w:rsidRDefault="00190E54" w:rsidP="00727809">
      <w:pPr>
        <w:pStyle w:val="NoSpacing"/>
        <w:jc w:val="both"/>
        <w:rPr>
          <w:rFonts w:ascii="Times New Roman" w:hAnsi="Times New Roman" w:cs="Times New Roman"/>
          <w:sz w:val="24"/>
          <w:szCs w:val="24"/>
        </w:rPr>
      </w:pPr>
    </w:p>
    <w:p w:rsidR="00190E54" w:rsidRDefault="00190E54" w:rsidP="00727809">
      <w:pPr>
        <w:pStyle w:val="NoSpacing"/>
        <w:jc w:val="both"/>
        <w:rPr>
          <w:rFonts w:ascii="Times New Roman" w:hAnsi="Times New Roman" w:cs="Times New Roman"/>
          <w:sz w:val="24"/>
          <w:szCs w:val="24"/>
        </w:rPr>
      </w:pPr>
    </w:p>
    <w:p w:rsidR="00190E54" w:rsidRDefault="00190E54" w:rsidP="00727809">
      <w:pPr>
        <w:pStyle w:val="NoSpacing"/>
        <w:jc w:val="both"/>
        <w:rPr>
          <w:rFonts w:ascii="Times New Roman" w:hAnsi="Times New Roman" w:cs="Times New Roman"/>
          <w:sz w:val="24"/>
          <w:szCs w:val="24"/>
        </w:rPr>
      </w:pPr>
    </w:p>
    <w:p w:rsidR="00190E54" w:rsidRDefault="00190E54" w:rsidP="00727809">
      <w:pPr>
        <w:pStyle w:val="NoSpacing"/>
        <w:jc w:val="both"/>
        <w:rPr>
          <w:rFonts w:ascii="Times New Roman" w:hAnsi="Times New Roman" w:cs="Times New Roman"/>
          <w:sz w:val="24"/>
          <w:szCs w:val="24"/>
        </w:rPr>
      </w:pPr>
    </w:p>
    <w:p w:rsidR="00FA5555" w:rsidRDefault="00FA5555" w:rsidP="00727809">
      <w:pPr>
        <w:pStyle w:val="NoSpacing"/>
        <w:jc w:val="both"/>
        <w:rPr>
          <w:rFonts w:ascii="Times New Roman" w:hAnsi="Times New Roman" w:cs="Times New Roman"/>
          <w:sz w:val="24"/>
          <w:szCs w:val="24"/>
        </w:rPr>
      </w:pPr>
    </w:p>
    <w:p w:rsidR="00411227" w:rsidRPr="00652018" w:rsidRDefault="00411227" w:rsidP="00727809">
      <w:pPr>
        <w:pStyle w:val="NoSpacing"/>
        <w:jc w:val="both"/>
        <w:rPr>
          <w:rFonts w:ascii="Times New Roman" w:hAnsi="Times New Roman" w:cs="Times New Roman"/>
          <w:sz w:val="24"/>
          <w:szCs w:val="24"/>
          <w:u w:val="single"/>
        </w:rPr>
      </w:pPr>
      <w:r w:rsidRPr="00652018">
        <w:rPr>
          <w:rFonts w:ascii="Times New Roman" w:hAnsi="Times New Roman" w:cs="Times New Roman"/>
          <w:sz w:val="24"/>
          <w:szCs w:val="24"/>
          <w:u w:val="single"/>
        </w:rPr>
        <w:lastRenderedPageBreak/>
        <w:t>Nutrient analysi</w:t>
      </w:r>
      <w:r w:rsidR="00D615FA" w:rsidRPr="00652018">
        <w:rPr>
          <w:rFonts w:ascii="Times New Roman" w:hAnsi="Times New Roman" w:cs="Times New Roman"/>
          <w:sz w:val="24"/>
          <w:szCs w:val="24"/>
          <w:u w:val="single"/>
        </w:rPr>
        <w:t>s of Holganix.</w:t>
      </w:r>
    </w:p>
    <w:p w:rsidR="00411227" w:rsidRPr="00652018" w:rsidRDefault="00411227" w:rsidP="00727809">
      <w:pPr>
        <w:pStyle w:val="NoSpacing"/>
        <w:jc w:val="both"/>
        <w:rPr>
          <w:rFonts w:ascii="Times New Roman" w:hAnsi="Times New Roman" w:cs="Times New Roman"/>
          <w:sz w:val="24"/>
          <w:szCs w:val="24"/>
          <w:u w:val="single"/>
        </w:rPr>
      </w:pPr>
    </w:p>
    <w:p w:rsidR="005B4CC9" w:rsidRDefault="00411227" w:rsidP="00411227">
      <w:pPr>
        <w:pStyle w:val="NoSpacing"/>
        <w:jc w:val="both"/>
        <w:rPr>
          <w:rFonts w:ascii="Helvetica Neue" w:hAnsi="Helvetica Neue" w:cs="Helvetica"/>
          <w:color w:val="323232"/>
          <w:sz w:val="21"/>
          <w:szCs w:val="21"/>
        </w:rPr>
      </w:pPr>
      <w:r>
        <w:rPr>
          <w:noProof/>
        </w:rPr>
        <w:drawing>
          <wp:inline distT="0" distB="0" distL="0" distR="0" wp14:anchorId="10B9FB70" wp14:editId="372F44B6">
            <wp:extent cx="5095875" cy="2838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67074" cy="2933809"/>
                    </a:xfrm>
                    <a:prstGeom prst="rect">
                      <a:avLst/>
                    </a:prstGeom>
                  </pic:spPr>
                </pic:pic>
              </a:graphicData>
            </a:graphic>
          </wp:inline>
        </w:drawing>
      </w:r>
    </w:p>
    <w:p w:rsidR="00652018" w:rsidRDefault="00652018" w:rsidP="00411227">
      <w:pPr>
        <w:pStyle w:val="NoSpacing"/>
        <w:jc w:val="both"/>
        <w:rPr>
          <w:rFonts w:ascii="Times New Roman" w:hAnsi="Times New Roman" w:cs="Times New Roman"/>
          <w:color w:val="323232"/>
        </w:rPr>
      </w:pPr>
    </w:p>
    <w:p w:rsidR="00652018" w:rsidRDefault="00652018" w:rsidP="00411227">
      <w:pPr>
        <w:pStyle w:val="NoSpacing"/>
        <w:jc w:val="both"/>
        <w:rPr>
          <w:rFonts w:ascii="Times New Roman" w:hAnsi="Times New Roman" w:cs="Times New Roman"/>
          <w:color w:val="323232"/>
        </w:rPr>
      </w:pPr>
    </w:p>
    <w:p w:rsidR="00652018" w:rsidRDefault="00652018" w:rsidP="00411227">
      <w:pPr>
        <w:pStyle w:val="NoSpacing"/>
        <w:jc w:val="both"/>
        <w:rPr>
          <w:rFonts w:ascii="Times New Roman" w:hAnsi="Times New Roman" w:cs="Times New Roman"/>
          <w:color w:val="323232"/>
        </w:rPr>
      </w:pPr>
    </w:p>
    <w:p w:rsidR="00652018" w:rsidRPr="00652018" w:rsidRDefault="00652018" w:rsidP="00411227">
      <w:pPr>
        <w:pStyle w:val="NoSpacing"/>
        <w:jc w:val="both"/>
        <w:rPr>
          <w:rFonts w:ascii="Times New Roman" w:hAnsi="Times New Roman" w:cs="Times New Roman"/>
          <w:color w:val="323232"/>
          <w:u w:val="single"/>
        </w:rPr>
      </w:pPr>
      <w:r w:rsidRPr="00652018">
        <w:rPr>
          <w:rFonts w:ascii="Times New Roman" w:hAnsi="Times New Roman" w:cs="Times New Roman"/>
          <w:color w:val="323232"/>
          <w:u w:val="single"/>
        </w:rPr>
        <w:t>Fertilizer: Plantex 20-10-20</w:t>
      </w:r>
    </w:p>
    <w:p w:rsidR="00652018" w:rsidRDefault="00652018" w:rsidP="00411227">
      <w:pPr>
        <w:pStyle w:val="NoSpacing"/>
        <w:jc w:val="both"/>
        <w:rPr>
          <w:rFonts w:ascii="Helvetica Neue" w:hAnsi="Helvetica Neue" w:cs="Helvetica"/>
          <w:color w:val="323232"/>
          <w:sz w:val="21"/>
          <w:szCs w:val="21"/>
        </w:rPr>
      </w:pPr>
    </w:p>
    <w:p w:rsidR="00652018" w:rsidRDefault="00652018" w:rsidP="00411227">
      <w:pPr>
        <w:pStyle w:val="NoSpacing"/>
        <w:jc w:val="both"/>
        <w:rPr>
          <w:rFonts w:ascii="Helvetica Neue" w:hAnsi="Helvetica Neue" w:cs="Helvetica"/>
          <w:color w:val="323232"/>
          <w:sz w:val="21"/>
          <w:szCs w:val="21"/>
        </w:rPr>
      </w:pPr>
      <w:r>
        <w:rPr>
          <w:noProof/>
        </w:rPr>
        <w:drawing>
          <wp:inline distT="0" distB="0" distL="0" distR="0" wp14:anchorId="463B2B94" wp14:editId="2727C37D">
            <wp:extent cx="4991100" cy="3184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36169" cy="3213281"/>
                    </a:xfrm>
                    <a:prstGeom prst="rect">
                      <a:avLst/>
                    </a:prstGeom>
                  </pic:spPr>
                </pic:pic>
              </a:graphicData>
            </a:graphic>
          </wp:inline>
        </w:drawing>
      </w:r>
    </w:p>
    <w:p w:rsidR="000F5A67" w:rsidRDefault="000F5A67" w:rsidP="00411227">
      <w:pPr>
        <w:pStyle w:val="NoSpacing"/>
        <w:jc w:val="both"/>
        <w:rPr>
          <w:rFonts w:ascii="Helvetica Neue" w:hAnsi="Helvetica Neue" w:cs="Helvetica"/>
          <w:color w:val="323232"/>
          <w:sz w:val="21"/>
          <w:szCs w:val="21"/>
        </w:rPr>
      </w:pPr>
    </w:p>
    <w:p w:rsidR="00652018" w:rsidRDefault="00652018" w:rsidP="00411227">
      <w:pPr>
        <w:pStyle w:val="NoSpacing"/>
        <w:jc w:val="both"/>
        <w:rPr>
          <w:rFonts w:ascii="Helvetica Neue" w:hAnsi="Helvetica Neue" w:cs="Helvetica"/>
          <w:color w:val="323232"/>
          <w:sz w:val="21"/>
          <w:szCs w:val="21"/>
        </w:rPr>
      </w:pPr>
    </w:p>
    <w:p w:rsidR="00652018" w:rsidRDefault="00652018" w:rsidP="00411227">
      <w:pPr>
        <w:pStyle w:val="NoSpacing"/>
        <w:jc w:val="both"/>
        <w:rPr>
          <w:rFonts w:ascii="Times New Roman" w:hAnsi="Times New Roman" w:cs="Times New Roman"/>
          <w:color w:val="323232"/>
        </w:rPr>
      </w:pPr>
    </w:p>
    <w:p w:rsidR="00652018" w:rsidRDefault="00652018" w:rsidP="00411227">
      <w:pPr>
        <w:pStyle w:val="NoSpacing"/>
        <w:jc w:val="both"/>
        <w:rPr>
          <w:rFonts w:ascii="Times New Roman" w:hAnsi="Times New Roman" w:cs="Times New Roman"/>
          <w:color w:val="323232"/>
        </w:rPr>
      </w:pPr>
    </w:p>
    <w:p w:rsidR="00652018" w:rsidRDefault="00652018" w:rsidP="00411227">
      <w:pPr>
        <w:pStyle w:val="NoSpacing"/>
        <w:jc w:val="both"/>
        <w:rPr>
          <w:rFonts w:ascii="Times New Roman" w:hAnsi="Times New Roman" w:cs="Times New Roman"/>
          <w:color w:val="323232"/>
        </w:rPr>
      </w:pPr>
    </w:p>
    <w:p w:rsidR="00652018" w:rsidRDefault="00652018" w:rsidP="00411227">
      <w:pPr>
        <w:pStyle w:val="NoSpacing"/>
        <w:jc w:val="both"/>
        <w:rPr>
          <w:rFonts w:ascii="Times New Roman" w:hAnsi="Times New Roman" w:cs="Times New Roman"/>
          <w:color w:val="323232"/>
        </w:rPr>
      </w:pPr>
    </w:p>
    <w:p w:rsidR="00652018" w:rsidRPr="00652018" w:rsidRDefault="00652018" w:rsidP="00411227">
      <w:pPr>
        <w:pStyle w:val="NoSpacing"/>
        <w:jc w:val="both"/>
        <w:rPr>
          <w:rFonts w:ascii="Times New Roman" w:hAnsi="Times New Roman" w:cs="Times New Roman"/>
          <w:color w:val="323232"/>
          <w:u w:val="single"/>
        </w:rPr>
      </w:pPr>
      <w:r w:rsidRPr="00652018">
        <w:rPr>
          <w:rFonts w:ascii="Times New Roman" w:hAnsi="Times New Roman" w:cs="Times New Roman"/>
          <w:color w:val="323232"/>
          <w:u w:val="single"/>
        </w:rPr>
        <w:lastRenderedPageBreak/>
        <w:t>Fertilizer Plantex 15-0-15</w:t>
      </w:r>
    </w:p>
    <w:p w:rsidR="00652018" w:rsidRDefault="00652018" w:rsidP="00411227">
      <w:pPr>
        <w:pStyle w:val="NoSpacing"/>
        <w:jc w:val="both"/>
        <w:rPr>
          <w:rFonts w:ascii="Times New Roman" w:hAnsi="Times New Roman" w:cs="Times New Roman"/>
          <w:color w:val="323232"/>
        </w:rPr>
      </w:pPr>
    </w:p>
    <w:p w:rsidR="00652018" w:rsidRDefault="00652018" w:rsidP="00411227">
      <w:pPr>
        <w:pStyle w:val="NoSpacing"/>
        <w:jc w:val="both"/>
        <w:rPr>
          <w:rFonts w:ascii="Helvetica Neue" w:hAnsi="Helvetica Neue" w:cs="Helvetica"/>
          <w:color w:val="323232"/>
          <w:sz w:val="21"/>
          <w:szCs w:val="21"/>
        </w:rPr>
      </w:pPr>
      <w:r>
        <w:rPr>
          <w:noProof/>
        </w:rPr>
        <w:drawing>
          <wp:inline distT="0" distB="0" distL="0" distR="0" wp14:anchorId="6D4086FC" wp14:editId="47F15062">
            <wp:extent cx="4733925" cy="2867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33925" cy="2867025"/>
                    </a:xfrm>
                    <a:prstGeom prst="rect">
                      <a:avLst/>
                    </a:prstGeom>
                  </pic:spPr>
                </pic:pic>
              </a:graphicData>
            </a:graphic>
          </wp:inline>
        </w:drawing>
      </w:r>
    </w:p>
    <w:p w:rsidR="00652018" w:rsidRDefault="00652018" w:rsidP="00411227">
      <w:pPr>
        <w:pStyle w:val="NoSpacing"/>
        <w:jc w:val="both"/>
        <w:rPr>
          <w:rFonts w:ascii="Helvetica Neue" w:hAnsi="Helvetica Neue" w:cs="Helvetica"/>
          <w:color w:val="323232"/>
          <w:sz w:val="21"/>
          <w:szCs w:val="21"/>
        </w:rPr>
      </w:pPr>
    </w:p>
    <w:p w:rsidR="00D615FA" w:rsidRPr="00190E54" w:rsidRDefault="00411227" w:rsidP="00D615FA">
      <w:pPr>
        <w:pStyle w:val="NoSpacing"/>
        <w:jc w:val="both"/>
        <w:rPr>
          <w:rFonts w:ascii="Times New Roman" w:hAnsi="Times New Roman" w:cs="Times New Roman"/>
          <w:color w:val="323232"/>
          <w:sz w:val="24"/>
          <w:szCs w:val="24"/>
        </w:rPr>
      </w:pPr>
      <w:r w:rsidRPr="00190E54">
        <w:rPr>
          <w:rFonts w:ascii="Times New Roman" w:hAnsi="Times New Roman" w:cs="Times New Roman"/>
          <w:color w:val="323232"/>
          <w:sz w:val="24"/>
          <w:szCs w:val="24"/>
        </w:rPr>
        <w:t xml:space="preserve">Study began in Week 26 (June 28) and completed Week </w:t>
      </w:r>
      <w:r w:rsidR="006B631B" w:rsidRPr="00190E54">
        <w:rPr>
          <w:rFonts w:ascii="Times New Roman" w:hAnsi="Times New Roman" w:cs="Times New Roman"/>
          <w:color w:val="323232"/>
          <w:sz w:val="24"/>
          <w:szCs w:val="24"/>
        </w:rPr>
        <w:t xml:space="preserve">34 (August 23).  We used weekly 20-10-20 and 15-0-15 fertilization schedule to maintain EC </w:t>
      </w:r>
      <w:r w:rsidR="0028456A" w:rsidRPr="00190E54">
        <w:rPr>
          <w:rFonts w:ascii="Times New Roman" w:hAnsi="Times New Roman" w:cs="Times New Roman"/>
          <w:color w:val="323232"/>
          <w:sz w:val="24"/>
          <w:szCs w:val="24"/>
        </w:rPr>
        <w:t xml:space="preserve">at (1.5 first two weeks and </w:t>
      </w:r>
      <w:r w:rsidR="006B631B" w:rsidRPr="00190E54">
        <w:rPr>
          <w:rFonts w:ascii="Times New Roman" w:hAnsi="Times New Roman" w:cs="Times New Roman"/>
          <w:color w:val="323232"/>
          <w:sz w:val="24"/>
          <w:szCs w:val="24"/>
        </w:rPr>
        <w:t xml:space="preserve">2.0 </w:t>
      </w:r>
      <w:r w:rsidR="0028456A" w:rsidRPr="00190E54">
        <w:rPr>
          <w:rFonts w:ascii="Times New Roman" w:hAnsi="Times New Roman" w:cs="Times New Roman"/>
          <w:color w:val="323232"/>
          <w:sz w:val="24"/>
          <w:szCs w:val="24"/>
        </w:rPr>
        <w:t>next 6 weeks)</w:t>
      </w:r>
      <w:r w:rsidR="00760B79" w:rsidRPr="00190E54">
        <w:rPr>
          <w:rFonts w:ascii="Times New Roman" w:hAnsi="Times New Roman" w:cs="Times New Roman"/>
          <w:color w:val="323232"/>
          <w:sz w:val="24"/>
          <w:szCs w:val="24"/>
        </w:rPr>
        <w:t xml:space="preserve"> </w:t>
      </w:r>
      <w:r w:rsidR="006B631B" w:rsidRPr="00190E54">
        <w:rPr>
          <w:rFonts w:ascii="Times New Roman" w:hAnsi="Times New Roman" w:cs="Times New Roman"/>
          <w:i/>
          <w:color w:val="323232"/>
          <w:sz w:val="24"/>
          <w:szCs w:val="24"/>
        </w:rPr>
        <w:t>Pour Through Method</w:t>
      </w:r>
      <w:r w:rsidR="006B631B" w:rsidRPr="00190E54">
        <w:rPr>
          <w:rFonts w:ascii="Times New Roman" w:hAnsi="Times New Roman" w:cs="Times New Roman"/>
          <w:color w:val="323232"/>
          <w:sz w:val="24"/>
          <w:szCs w:val="24"/>
        </w:rPr>
        <w:t xml:space="preserve"> and PH of 6.0. </w:t>
      </w:r>
      <w:r w:rsidR="00D615FA" w:rsidRPr="00190E54">
        <w:rPr>
          <w:rFonts w:ascii="Times New Roman" w:hAnsi="Times New Roman" w:cs="Times New Roman"/>
          <w:color w:val="323232"/>
          <w:sz w:val="24"/>
          <w:szCs w:val="24"/>
        </w:rPr>
        <w:t xml:space="preserve"> We drenched plants using</w:t>
      </w:r>
      <w:r w:rsidR="005012B2" w:rsidRPr="00190E54">
        <w:rPr>
          <w:rFonts w:ascii="Times New Roman" w:hAnsi="Times New Roman" w:cs="Times New Roman"/>
          <w:color w:val="323232"/>
          <w:sz w:val="24"/>
          <w:szCs w:val="24"/>
        </w:rPr>
        <w:t xml:space="preserve"> </w:t>
      </w:r>
      <w:r w:rsidR="00D615FA" w:rsidRPr="00190E54">
        <w:rPr>
          <w:rFonts w:ascii="Times New Roman" w:hAnsi="Times New Roman" w:cs="Times New Roman"/>
          <w:color w:val="323232"/>
          <w:sz w:val="24"/>
          <w:szCs w:val="24"/>
        </w:rPr>
        <w:t>50oz of Holganix stock solution per 100 gal. of water. We drenched plant red and blue group once in week 2</w:t>
      </w:r>
      <w:r w:rsidR="00422CB8" w:rsidRPr="00190E54">
        <w:rPr>
          <w:rFonts w:ascii="Times New Roman" w:hAnsi="Times New Roman" w:cs="Times New Roman"/>
          <w:color w:val="323232"/>
          <w:sz w:val="24"/>
          <w:szCs w:val="24"/>
        </w:rPr>
        <w:t>6</w:t>
      </w:r>
      <w:r w:rsidR="00D615FA" w:rsidRPr="00190E54">
        <w:rPr>
          <w:rFonts w:ascii="Times New Roman" w:hAnsi="Times New Roman" w:cs="Times New Roman"/>
          <w:color w:val="323232"/>
          <w:sz w:val="24"/>
          <w:szCs w:val="24"/>
        </w:rPr>
        <w:t xml:space="preserve"> and the blue group in week 3</w:t>
      </w:r>
      <w:r w:rsidR="00422CB8" w:rsidRPr="00190E54">
        <w:rPr>
          <w:rFonts w:ascii="Times New Roman" w:hAnsi="Times New Roman" w:cs="Times New Roman"/>
          <w:color w:val="323232"/>
          <w:sz w:val="24"/>
          <w:szCs w:val="24"/>
        </w:rPr>
        <w:t>0</w:t>
      </w:r>
      <w:r w:rsidR="00D615FA" w:rsidRPr="00190E54">
        <w:rPr>
          <w:rFonts w:ascii="Times New Roman" w:hAnsi="Times New Roman" w:cs="Times New Roman"/>
          <w:color w:val="323232"/>
          <w:sz w:val="24"/>
          <w:szCs w:val="24"/>
        </w:rPr>
        <w:t>. Plants were irrigated as needed.</w:t>
      </w:r>
    </w:p>
    <w:p w:rsidR="00D615FA" w:rsidRPr="00190E54" w:rsidRDefault="00D615FA" w:rsidP="00D615FA">
      <w:pPr>
        <w:pStyle w:val="NoSpacing"/>
        <w:jc w:val="both"/>
        <w:rPr>
          <w:rFonts w:ascii="Times New Roman" w:hAnsi="Times New Roman" w:cs="Times New Roman"/>
          <w:color w:val="323232"/>
          <w:sz w:val="24"/>
          <w:szCs w:val="24"/>
        </w:rPr>
      </w:pPr>
    </w:p>
    <w:p w:rsidR="00422CB8" w:rsidRPr="00190E54" w:rsidRDefault="00422CB8" w:rsidP="00D615FA">
      <w:pPr>
        <w:pStyle w:val="NoSpacing"/>
        <w:jc w:val="both"/>
        <w:rPr>
          <w:rFonts w:ascii="Times New Roman" w:hAnsi="Times New Roman" w:cs="Times New Roman"/>
          <w:color w:val="323232"/>
          <w:sz w:val="24"/>
          <w:szCs w:val="24"/>
        </w:rPr>
      </w:pPr>
      <w:r w:rsidRPr="00190E54">
        <w:rPr>
          <w:rFonts w:ascii="Times New Roman" w:hAnsi="Times New Roman" w:cs="Times New Roman"/>
          <w:color w:val="323232"/>
          <w:sz w:val="24"/>
          <w:szCs w:val="24"/>
        </w:rPr>
        <w:t xml:space="preserve">To measure as hypothesized the </w:t>
      </w:r>
      <w:r w:rsidR="000B6A6C" w:rsidRPr="00190E54">
        <w:rPr>
          <w:rFonts w:ascii="Times New Roman" w:hAnsi="Times New Roman" w:cs="Times New Roman"/>
          <w:color w:val="323232"/>
          <w:sz w:val="24"/>
          <w:szCs w:val="24"/>
        </w:rPr>
        <w:t xml:space="preserve">response of plant in </w:t>
      </w:r>
      <w:r w:rsidRPr="00190E54">
        <w:rPr>
          <w:rFonts w:ascii="Times New Roman" w:hAnsi="Times New Roman" w:cs="Times New Roman"/>
          <w:color w:val="323232"/>
          <w:sz w:val="24"/>
          <w:szCs w:val="24"/>
        </w:rPr>
        <w:t>height, branching and biomass</w:t>
      </w:r>
      <w:r w:rsidR="000B6A6C" w:rsidRPr="00190E54">
        <w:rPr>
          <w:rFonts w:ascii="Times New Roman" w:hAnsi="Times New Roman" w:cs="Times New Roman"/>
          <w:color w:val="323232"/>
          <w:sz w:val="24"/>
          <w:szCs w:val="24"/>
        </w:rPr>
        <w:t>,</w:t>
      </w:r>
      <w:r w:rsidR="00D615FA" w:rsidRPr="00190E54">
        <w:rPr>
          <w:rFonts w:ascii="Times New Roman" w:hAnsi="Times New Roman" w:cs="Times New Roman"/>
          <w:color w:val="323232"/>
          <w:sz w:val="24"/>
          <w:szCs w:val="24"/>
        </w:rPr>
        <w:t xml:space="preserve"> each </w:t>
      </w:r>
      <w:r w:rsidR="00760B79" w:rsidRPr="00190E54">
        <w:rPr>
          <w:rFonts w:ascii="Times New Roman" w:hAnsi="Times New Roman" w:cs="Times New Roman"/>
          <w:color w:val="323232"/>
          <w:sz w:val="24"/>
          <w:szCs w:val="24"/>
        </w:rPr>
        <w:t>plant (</w:t>
      </w:r>
      <w:r w:rsidRPr="00190E54">
        <w:rPr>
          <w:rFonts w:ascii="Times New Roman" w:hAnsi="Times New Roman" w:cs="Times New Roman"/>
          <w:color w:val="323232"/>
          <w:sz w:val="24"/>
          <w:szCs w:val="24"/>
        </w:rPr>
        <w:t>green/red/blue) w</w:t>
      </w:r>
      <w:r w:rsidR="000B6A6C" w:rsidRPr="00190E54">
        <w:rPr>
          <w:rFonts w:ascii="Times New Roman" w:hAnsi="Times New Roman" w:cs="Times New Roman"/>
          <w:color w:val="323232"/>
          <w:sz w:val="24"/>
          <w:szCs w:val="24"/>
        </w:rPr>
        <w:t xml:space="preserve">as </w:t>
      </w:r>
      <w:r w:rsidRPr="00190E54">
        <w:rPr>
          <w:rFonts w:ascii="Times New Roman" w:hAnsi="Times New Roman" w:cs="Times New Roman"/>
          <w:color w:val="323232"/>
          <w:sz w:val="24"/>
          <w:szCs w:val="24"/>
        </w:rPr>
        <w:t xml:space="preserve">recorded biweekly </w:t>
      </w:r>
      <w:r w:rsidR="000B6A6C" w:rsidRPr="00190E54">
        <w:rPr>
          <w:rFonts w:ascii="Times New Roman" w:hAnsi="Times New Roman" w:cs="Times New Roman"/>
          <w:color w:val="323232"/>
          <w:sz w:val="24"/>
          <w:szCs w:val="24"/>
        </w:rPr>
        <w:t>in</w:t>
      </w:r>
      <w:r w:rsidRPr="00190E54">
        <w:rPr>
          <w:rFonts w:ascii="Times New Roman" w:hAnsi="Times New Roman" w:cs="Times New Roman"/>
          <w:color w:val="323232"/>
          <w:sz w:val="24"/>
          <w:szCs w:val="24"/>
        </w:rPr>
        <w:t xml:space="preserve"> height/#of branches and took average </w:t>
      </w:r>
      <w:r w:rsidR="000B6A6C" w:rsidRPr="00190E54">
        <w:rPr>
          <w:rFonts w:ascii="Times New Roman" w:hAnsi="Times New Roman" w:cs="Times New Roman"/>
          <w:color w:val="323232"/>
          <w:sz w:val="24"/>
          <w:szCs w:val="24"/>
        </w:rPr>
        <w:t>for that group.</w:t>
      </w:r>
      <w:r w:rsidRPr="00190E54">
        <w:rPr>
          <w:rFonts w:ascii="Times New Roman" w:hAnsi="Times New Roman" w:cs="Times New Roman"/>
          <w:color w:val="323232"/>
          <w:sz w:val="24"/>
          <w:szCs w:val="24"/>
        </w:rPr>
        <w:t xml:space="preserve"> In week 3</w:t>
      </w:r>
      <w:r w:rsidR="005012B2" w:rsidRPr="00190E54">
        <w:rPr>
          <w:rFonts w:ascii="Times New Roman" w:hAnsi="Times New Roman" w:cs="Times New Roman"/>
          <w:color w:val="323232"/>
          <w:sz w:val="24"/>
          <w:szCs w:val="24"/>
        </w:rPr>
        <w:t>0</w:t>
      </w:r>
      <w:r w:rsidRPr="00190E54">
        <w:rPr>
          <w:rFonts w:ascii="Times New Roman" w:hAnsi="Times New Roman" w:cs="Times New Roman"/>
          <w:color w:val="323232"/>
          <w:sz w:val="24"/>
          <w:szCs w:val="24"/>
        </w:rPr>
        <w:t xml:space="preserve"> and 34 we measured the biomass weight of two specimens from each plant group. We took the largest and smallest specimens from that group measured by height and averaged their biomass for the study biomass calculation. </w:t>
      </w:r>
    </w:p>
    <w:p w:rsidR="00760B79" w:rsidRPr="00190E54" w:rsidRDefault="00760B79" w:rsidP="00D615FA">
      <w:pPr>
        <w:pStyle w:val="NoSpacing"/>
        <w:jc w:val="both"/>
        <w:rPr>
          <w:rFonts w:ascii="Times New Roman" w:hAnsi="Times New Roman" w:cs="Times New Roman"/>
          <w:color w:val="323232"/>
          <w:sz w:val="24"/>
          <w:szCs w:val="24"/>
        </w:rPr>
      </w:pPr>
    </w:p>
    <w:p w:rsidR="00760B79" w:rsidRPr="00190E54" w:rsidRDefault="00760B79" w:rsidP="00D615FA">
      <w:pPr>
        <w:pStyle w:val="NoSpacing"/>
        <w:jc w:val="both"/>
        <w:rPr>
          <w:rFonts w:ascii="Times New Roman" w:hAnsi="Times New Roman" w:cs="Times New Roman"/>
          <w:i/>
          <w:color w:val="323232"/>
          <w:sz w:val="24"/>
          <w:szCs w:val="24"/>
          <w:u w:val="single"/>
        </w:rPr>
      </w:pPr>
      <w:r w:rsidRPr="00190E54">
        <w:rPr>
          <w:rFonts w:ascii="Times New Roman" w:hAnsi="Times New Roman" w:cs="Times New Roman"/>
          <w:i/>
          <w:color w:val="323232"/>
          <w:sz w:val="24"/>
          <w:szCs w:val="24"/>
          <w:u w:val="single"/>
        </w:rPr>
        <w:t>Results</w:t>
      </w:r>
    </w:p>
    <w:p w:rsidR="005012B2" w:rsidRPr="00190E54" w:rsidRDefault="005012B2" w:rsidP="00D615FA">
      <w:pPr>
        <w:pStyle w:val="NoSpacing"/>
        <w:jc w:val="both"/>
        <w:rPr>
          <w:rFonts w:ascii="Times New Roman" w:hAnsi="Times New Roman" w:cs="Times New Roman"/>
          <w:i/>
          <w:color w:val="323232"/>
          <w:sz w:val="24"/>
          <w:szCs w:val="24"/>
          <w:u w:val="single"/>
        </w:rPr>
      </w:pPr>
    </w:p>
    <w:p w:rsidR="00E9787E" w:rsidRDefault="00DB5F6A" w:rsidP="00D615FA">
      <w:pPr>
        <w:pStyle w:val="NoSpacing"/>
        <w:jc w:val="both"/>
        <w:rPr>
          <w:rFonts w:ascii="Times New Roman" w:hAnsi="Times New Roman" w:cs="Times New Roman"/>
          <w:color w:val="323232"/>
          <w:sz w:val="24"/>
          <w:szCs w:val="24"/>
        </w:rPr>
      </w:pPr>
      <w:r w:rsidRPr="00190E54">
        <w:rPr>
          <w:rFonts w:ascii="Times New Roman" w:hAnsi="Times New Roman" w:cs="Times New Roman"/>
          <w:color w:val="323232"/>
          <w:sz w:val="24"/>
          <w:szCs w:val="24"/>
        </w:rPr>
        <w:t>As hypothesized t</w:t>
      </w:r>
      <w:r w:rsidR="005012B2" w:rsidRPr="00190E54">
        <w:rPr>
          <w:rFonts w:ascii="Times New Roman" w:hAnsi="Times New Roman" w:cs="Times New Roman"/>
          <w:color w:val="323232"/>
          <w:sz w:val="24"/>
          <w:szCs w:val="24"/>
        </w:rPr>
        <w:t xml:space="preserve">he application of the compost tea/mycorrhizae had a significant contribution to height, branching and biomass compared to </w:t>
      </w:r>
      <w:r w:rsidR="004A460B" w:rsidRPr="00190E54">
        <w:rPr>
          <w:rFonts w:ascii="Times New Roman" w:hAnsi="Times New Roman" w:cs="Times New Roman"/>
          <w:color w:val="323232"/>
          <w:sz w:val="24"/>
          <w:szCs w:val="24"/>
        </w:rPr>
        <w:t xml:space="preserve">the </w:t>
      </w:r>
      <w:r w:rsidR="005012B2" w:rsidRPr="00190E54">
        <w:rPr>
          <w:rFonts w:ascii="Times New Roman" w:hAnsi="Times New Roman" w:cs="Times New Roman"/>
          <w:color w:val="323232"/>
          <w:sz w:val="24"/>
          <w:szCs w:val="24"/>
        </w:rPr>
        <w:t>control that had no application.</w:t>
      </w:r>
      <w:r w:rsidRPr="00190E54">
        <w:rPr>
          <w:rFonts w:ascii="Times New Roman" w:hAnsi="Times New Roman" w:cs="Times New Roman"/>
          <w:color w:val="323232"/>
          <w:sz w:val="24"/>
          <w:szCs w:val="24"/>
        </w:rPr>
        <w:t xml:space="preserve"> (See </w:t>
      </w:r>
      <w:r w:rsidR="00F839CB" w:rsidRPr="00190E54">
        <w:rPr>
          <w:rFonts w:ascii="Times New Roman" w:hAnsi="Times New Roman" w:cs="Times New Roman"/>
          <w:color w:val="323232"/>
          <w:sz w:val="24"/>
          <w:szCs w:val="24"/>
        </w:rPr>
        <w:t>F</w:t>
      </w:r>
      <w:r w:rsidRPr="00190E54">
        <w:rPr>
          <w:rFonts w:ascii="Times New Roman" w:hAnsi="Times New Roman" w:cs="Times New Roman"/>
          <w:color w:val="323232"/>
          <w:sz w:val="24"/>
          <w:szCs w:val="24"/>
        </w:rPr>
        <w:t>igure 1,2,3)</w:t>
      </w:r>
      <w:r w:rsidR="005012B2" w:rsidRPr="00190E54">
        <w:rPr>
          <w:rFonts w:ascii="Times New Roman" w:hAnsi="Times New Roman" w:cs="Times New Roman"/>
          <w:color w:val="323232"/>
          <w:sz w:val="24"/>
          <w:szCs w:val="24"/>
        </w:rPr>
        <w:t xml:space="preserve"> We found in the first four weeks of production (establishment) </w:t>
      </w:r>
      <w:r w:rsidR="004A460B" w:rsidRPr="00190E54">
        <w:rPr>
          <w:rFonts w:ascii="Times New Roman" w:hAnsi="Times New Roman" w:cs="Times New Roman"/>
          <w:color w:val="323232"/>
          <w:sz w:val="24"/>
          <w:szCs w:val="24"/>
        </w:rPr>
        <w:t xml:space="preserve">that the control outperformed the treatment groups. In the following weeks (growth stage) the treatment groups outperformed the control significantly. The representative gains between the two treatment groups was significant as it related to biomass and root development. We found no differences in bud initiation timing between groups. There were no signs of root or foliar disease among any of the mum groups.  </w:t>
      </w:r>
    </w:p>
    <w:p w:rsidR="007D4D39" w:rsidRDefault="007D4D39" w:rsidP="00D615FA">
      <w:pPr>
        <w:pStyle w:val="NoSpacing"/>
        <w:jc w:val="both"/>
        <w:rPr>
          <w:rFonts w:ascii="Times New Roman" w:hAnsi="Times New Roman" w:cs="Times New Roman"/>
          <w:color w:val="323232"/>
          <w:sz w:val="24"/>
          <w:szCs w:val="24"/>
        </w:rPr>
      </w:pPr>
    </w:p>
    <w:p w:rsidR="00190E54" w:rsidRDefault="00E9787E" w:rsidP="00652018">
      <w:pPr>
        <w:pStyle w:val="NoSpacing"/>
        <w:jc w:val="both"/>
        <w:rPr>
          <w:rFonts w:ascii="Times New Roman" w:hAnsi="Times New Roman" w:cs="Times New Roman"/>
          <w:color w:val="323232"/>
          <w:sz w:val="24"/>
          <w:szCs w:val="24"/>
        </w:rPr>
      </w:pPr>
      <w:r w:rsidRPr="00835A51">
        <w:rPr>
          <w:rFonts w:ascii="Times New Roman" w:hAnsi="Times New Roman" w:cs="Times New Roman"/>
          <w:color w:val="323232"/>
          <w:sz w:val="24"/>
          <w:szCs w:val="24"/>
        </w:rPr>
        <w:t xml:space="preserve">Throughout the eight-week study between the control and the two drenches sample an increase of 26% in height, 35% branching and 44% in biomass. Between the control and the one drench sample an increase of 5% in height, 25% branching and 31% in biomass was found. </w:t>
      </w:r>
      <w:r w:rsidR="007D4D39">
        <w:rPr>
          <w:rFonts w:ascii="Times New Roman" w:hAnsi="Times New Roman" w:cs="Times New Roman"/>
          <w:color w:val="323232"/>
          <w:sz w:val="24"/>
          <w:szCs w:val="24"/>
        </w:rPr>
        <w:t>In the two treatment groups there was a greater incidence of PH drift downward during study compared to control.</w:t>
      </w:r>
    </w:p>
    <w:p w:rsidR="008E246E" w:rsidRDefault="00B20EE4" w:rsidP="00204C28">
      <w:pPr>
        <w:pStyle w:val="NoSpacing"/>
        <w:rPr>
          <w:rFonts w:ascii="Times New Roman" w:hAnsi="Times New Roman" w:cs="Times New Roman"/>
          <w:color w:val="323232"/>
          <w:sz w:val="24"/>
          <w:szCs w:val="24"/>
        </w:rPr>
      </w:pPr>
      <w:r>
        <w:rPr>
          <w:rFonts w:ascii="Times New Roman" w:hAnsi="Times New Roman" w:cs="Times New Roman"/>
          <w:color w:val="323232"/>
          <w:sz w:val="24"/>
          <w:szCs w:val="24"/>
        </w:rPr>
        <w:t xml:space="preserve">            </w:t>
      </w:r>
    </w:p>
    <w:p w:rsidR="00204C28" w:rsidRPr="00190E54" w:rsidRDefault="00DB5F6A" w:rsidP="00204C28">
      <w:pPr>
        <w:pStyle w:val="NoSpacing"/>
        <w:rPr>
          <w:rFonts w:ascii="Times New Roman" w:hAnsi="Times New Roman" w:cs="Times New Roman"/>
          <w:color w:val="323232"/>
          <w:sz w:val="24"/>
          <w:szCs w:val="24"/>
        </w:rPr>
      </w:pPr>
      <w:r w:rsidRPr="00190E54">
        <w:rPr>
          <w:rFonts w:ascii="Times New Roman" w:hAnsi="Times New Roman" w:cs="Times New Roman"/>
          <w:color w:val="323232"/>
          <w:sz w:val="24"/>
          <w:szCs w:val="24"/>
        </w:rPr>
        <w:lastRenderedPageBreak/>
        <w:t>Figure 1</w:t>
      </w:r>
      <w:r w:rsidR="00F839CB" w:rsidRPr="00190E54">
        <w:rPr>
          <w:rFonts w:ascii="Times New Roman" w:hAnsi="Times New Roman" w:cs="Times New Roman"/>
          <w:color w:val="323232"/>
          <w:sz w:val="24"/>
          <w:szCs w:val="24"/>
        </w:rPr>
        <w:t>.</w:t>
      </w:r>
      <w:r w:rsidR="00204C28" w:rsidRPr="00190E54">
        <w:rPr>
          <w:rFonts w:ascii="Times New Roman" w:hAnsi="Times New Roman" w:cs="Times New Roman"/>
          <w:color w:val="323232"/>
          <w:sz w:val="24"/>
          <w:szCs w:val="24"/>
        </w:rPr>
        <w:t xml:space="preserve">          </w:t>
      </w:r>
      <w:r w:rsidR="00B20EE4">
        <w:rPr>
          <w:rFonts w:ascii="Times New Roman" w:hAnsi="Times New Roman" w:cs="Times New Roman"/>
          <w:color w:val="323232"/>
          <w:sz w:val="24"/>
          <w:szCs w:val="24"/>
        </w:rPr>
        <w:t xml:space="preserve"> </w:t>
      </w:r>
      <w:r w:rsidR="00204C28" w:rsidRPr="00190E54">
        <w:rPr>
          <w:rFonts w:ascii="Times New Roman" w:hAnsi="Times New Roman" w:cs="Times New Roman"/>
          <w:color w:val="323232"/>
          <w:sz w:val="24"/>
          <w:szCs w:val="24"/>
        </w:rPr>
        <w:t xml:space="preserve">   </w:t>
      </w:r>
      <w:r w:rsidR="00B20EE4">
        <w:rPr>
          <w:rFonts w:ascii="Times New Roman" w:hAnsi="Times New Roman" w:cs="Times New Roman"/>
          <w:color w:val="323232"/>
          <w:sz w:val="24"/>
          <w:szCs w:val="24"/>
        </w:rPr>
        <w:t xml:space="preserve">     </w:t>
      </w:r>
      <w:r w:rsidR="008E246E">
        <w:rPr>
          <w:rFonts w:ascii="Times New Roman" w:hAnsi="Times New Roman" w:cs="Times New Roman"/>
          <w:color w:val="323232"/>
          <w:sz w:val="24"/>
          <w:szCs w:val="24"/>
        </w:rPr>
        <w:t xml:space="preserve">             </w:t>
      </w:r>
      <w:r w:rsidR="00204C28" w:rsidRPr="00190E54">
        <w:rPr>
          <w:rFonts w:ascii="Times New Roman" w:hAnsi="Times New Roman" w:cs="Times New Roman"/>
          <w:color w:val="323232"/>
          <w:sz w:val="24"/>
          <w:szCs w:val="24"/>
        </w:rPr>
        <w:t xml:space="preserve">  </w:t>
      </w:r>
      <w:r w:rsidR="00F839CB" w:rsidRPr="00190E54">
        <w:rPr>
          <w:rFonts w:ascii="Times New Roman" w:hAnsi="Times New Roman" w:cs="Times New Roman"/>
          <w:color w:val="323232"/>
          <w:sz w:val="24"/>
          <w:szCs w:val="24"/>
        </w:rPr>
        <w:t xml:space="preserve"> </w:t>
      </w:r>
      <w:r w:rsidR="00204C28" w:rsidRPr="00190E54">
        <w:rPr>
          <w:rFonts w:ascii="Times New Roman" w:hAnsi="Times New Roman" w:cs="Times New Roman"/>
          <w:color w:val="323232"/>
          <w:sz w:val="24"/>
          <w:szCs w:val="24"/>
        </w:rPr>
        <w:t xml:space="preserve">  Liquid Compost/ Mycorrhizae Drench</w:t>
      </w:r>
    </w:p>
    <w:p w:rsidR="00DB5F6A" w:rsidRPr="00190E54" w:rsidRDefault="00204C28" w:rsidP="00D615FA">
      <w:pPr>
        <w:pStyle w:val="NoSpacing"/>
        <w:jc w:val="both"/>
        <w:rPr>
          <w:rFonts w:ascii="Times New Roman" w:hAnsi="Times New Roman" w:cs="Times New Roman"/>
          <w:color w:val="323232"/>
          <w:sz w:val="24"/>
          <w:szCs w:val="24"/>
        </w:rPr>
      </w:pPr>
      <w:r w:rsidRPr="00190E54">
        <w:rPr>
          <w:rFonts w:ascii="Times New Roman" w:hAnsi="Times New Roman" w:cs="Times New Roman"/>
          <w:color w:val="323232"/>
          <w:sz w:val="24"/>
          <w:szCs w:val="24"/>
        </w:rPr>
        <w:t xml:space="preserve">                    </w:t>
      </w:r>
      <w:r w:rsidR="00B20EE4">
        <w:rPr>
          <w:rFonts w:ascii="Times New Roman" w:hAnsi="Times New Roman" w:cs="Times New Roman"/>
          <w:color w:val="323232"/>
          <w:sz w:val="24"/>
          <w:szCs w:val="24"/>
        </w:rPr>
        <w:t xml:space="preserve">    </w:t>
      </w:r>
      <w:r w:rsidRPr="00190E54">
        <w:rPr>
          <w:rFonts w:ascii="Times New Roman" w:hAnsi="Times New Roman" w:cs="Times New Roman"/>
          <w:color w:val="323232"/>
          <w:sz w:val="24"/>
          <w:szCs w:val="24"/>
        </w:rPr>
        <w:t xml:space="preserve">(Green Control No treatment, Red One Treatment, </w:t>
      </w:r>
      <w:r w:rsidR="00447F03">
        <w:rPr>
          <w:rFonts w:ascii="Times New Roman" w:hAnsi="Times New Roman" w:cs="Times New Roman"/>
          <w:color w:val="323232"/>
          <w:sz w:val="24"/>
          <w:szCs w:val="24"/>
        </w:rPr>
        <w:t>Blue</w:t>
      </w:r>
      <w:r w:rsidRPr="00190E54">
        <w:rPr>
          <w:rFonts w:ascii="Times New Roman" w:hAnsi="Times New Roman" w:cs="Times New Roman"/>
          <w:color w:val="323232"/>
          <w:sz w:val="24"/>
          <w:szCs w:val="24"/>
        </w:rPr>
        <w:t xml:space="preserve"> Two Treatments)  </w:t>
      </w:r>
    </w:p>
    <w:p w:rsidR="00DB5F6A" w:rsidRDefault="00B20EE4" w:rsidP="00D615FA">
      <w:pPr>
        <w:pStyle w:val="NoSpacing"/>
        <w:jc w:val="both"/>
        <w:rPr>
          <w:rFonts w:ascii="Helvetica Neue" w:hAnsi="Helvetica Neue" w:cs="Helvetica"/>
          <w:color w:val="323232"/>
          <w:sz w:val="21"/>
          <w:szCs w:val="21"/>
        </w:rPr>
      </w:pPr>
      <w:r>
        <w:rPr>
          <w:rFonts w:ascii="Helvetica Neue" w:hAnsi="Helvetica Neue" w:cs="Helvetica"/>
          <w:color w:val="323232"/>
          <w:sz w:val="21"/>
          <w:szCs w:val="21"/>
        </w:rPr>
        <w:t xml:space="preserve">            </w:t>
      </w:r>
      <w:r w:rsidR="00DB5F6A" w:rsidRPr="00DB5F6A">
        <w:rPr>
          <w:rFonts w:ascii="Helvetica Neue" w:hAnsi="Helvetica Neue" w:cs="Helvetica"/>
          <w:noProof/>
          <w:color w:val="323232"/>
          <w:sz w:val="21"/>
          <w:szCs w:val="21"/>
        </w:rPr>
        <w:drawing>
          <wp:inline distT="0" distB="0" distL="0" distR="0">
            <wp:extent cx="5419592" cy="338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0319" cy="3469177"/>
                    </a:xfrm>
                    <a:prstGeom prst="rect">
                      <a:avLst/>
                    </a:prstGeom>
                    <a:noFill/>
                    <a:ln>
                      <a:noFill/>
                    </a:ln>
                  </pic:spPr>
                </pic:pic>
              </a:graphicData>
            </a:graphic>
          </wp:inline>
        </w:drawing>
      </w:r>
    </w:p>
    <w:p w:rsidR="00B20EE4" w:rsidRDefault="00B20EE4" w:rsidP="00D615FA">
      <w:pPr>
        <w:pStyle w:val="NoSpacing"/>
        <w:jc w:val="both"/>
        <w:rPr>
          <w:rFonts w:ascii="Times New Roman" w:hAnsi="Times New Roman" w:cs="Times New Roman"/>
          <w:color w:val="323232"/>
          <w:sz w:val="24"/>
          <w:szCs w:val="24"/>
        </w:rPr>
      </w:pPr>
      <w:r>
        <w:rPr>
          <w:rFonts w:ascii="Times New Roman" w:hAnsi="Times New Roman" w:cs="Times New Roman"/>
          <w:color w:val="323232"/>
          <w:sz w:val="24"/>
          <w:szCs w:val="24"/>
        </w:rPr>
        <w:t xml:space="preserve">             </w:t>
      </w:r>
      <w:r w:rsidR="00190E54" w:rsidRPr="00190E54">
        <w:rPr>
          <w:rFonts w:ascii="Times New Roman" w:hAnsi="Times New Roman" w:cs="Times New Roman"/>
          <w:color w:val="323232"/>
          <w:sz w:val="24"/>
          <w:szCs w:val="24"/>
        </w:rPr>
        <w:t>Figure 2</w:t>
      </w:r>
      <w:r w:rsidR="00190E54">
        <w:rPr>
          <w:rFonts w:ascii="Times New Roman" w:hAnsi="Times New Roman" w:cs="Times New Roman"/>
          <w:color w:val="323232"/>
          <w:sz w:val="24"/>
          <w:szCs w:val="24"/>
        </w:rPr>
        <w:t>.</w:t>
      </w:r>
    </w:p>
    <w:p w:rsidR="00B20EE4" w:rsidRPr="00190E54" w:rsidRDefault="00B20EE4" w:rsidP="00D615FA">
      <w:pPr>
        <w:pStyle w:val="NoSpacing"/>
        <w:jc w:val="both"/>
        <w:rPr>
          <w:rFonts w:ascii="Times New Roman" w:hAnsi="Times New Roman" w:cs="Times New Roman"/>
          <w:color w:val="323232"/>
          <w:sz w:val="24"/>
          <w:szCs w:val="24"/>
        </w:rPr>
      </w:pPr>
      <w:r>
        <w:rPr>
          <w:rFonts w:ascii="Times New Roman" w:hAnsi="Times New Roman" w:cs="Times New Roman"/>
          <w:color w:val="323232"/>
          <w:sz w:val="24"/>
          <w:szCs w:val="24"/>
        </w:rPr>
        <w:t xml:space="preserve">              </w:t>
      </w:r>
      <w:r w:rsidRPr="00B20EE4">
        <w:rPr>
          <w:rFonts w:ascii="Times New Roman" w:hAnsi="Times New Roman" w:cs="Times New Roman"/>
          <w:noProof/>
          <w:color w:val="323232"/>
          <w:sz w:val="24"/>
          <w:szCs w:val="24"/>
        </w:rPr>
        <w:drawing>
          <wp:inline distT="0" distB="0" distL="0" distR="0">
            <wp:extent cx="5333316" cy="359981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8706" cy="3691199"/>
                    </a:xfrm>
                    <a:prstGeom prst="rect">
                      <a:avLst/>
                    </a:prstGeom>
                    <a:noFill/>
                    <a:ln>
                      <a:noFill/>
                    </a:ln>
                  </pic:spPr>
                </pic:pic>
              </a:graphicData>
            </a:graphic>
          </wp:inline>
        </w:drawing>
      </w:r>
    </w:p>
    <w:p w:rsidR="00204C28" w:rsidRDefault="00204C28" w:rsidP="00D615FA">
      <w:pPr>
        <w:pStyle w:val="NoSpacing"/>
        <w:jc w:val="both"/>
        <w:rPr>
          <w:rFonts w:ascii="Helvetica Neue" w:hAnsi="Helvetica Neue" w:cs="Helvetica"/>
          <w:color w:val="323232"/>
          <w:sz w:val="21"/>
          <w:szCs w:val="21"/>
        </w:rPr>
      </w:pPr>
    </w:p>
    <w:p w:rsidR="00204C28" w:rsidRDefault="00204C28" w:rsidP="00D615FA">
      <w:pPr>
        <w:pStyle w:val="NoSpacing"/>
        <w:jc w:val="both"/>
        <w:rPr>
          <w:rFonts w:ascii="Helvetica Neue" w:hAnsi="Helvetica Neue" w:cs="Helvetica"/>
          <w:color w:val="323232"/>
          <w:sz w:val="21"/>
          <w:szCs w:val="21"/>
        </w:rPr>
      </w:pPr>
    </w:p>
    <w:p w:rsidR="00190E54" w:rsidRDefault="00190E54" w:rsidP="00D615FA">
      <w:pPr>
        <w:pStyle w:val="NoSpacing"/>
        <w:jc w:val="both"/>
        <w:rPr>
          <w:rFonts w:ascii="Helvetica Neue" w:hAnsi="Helvetica Neue" w:cs="Helvetica"/>
          <w:color w:val="323232"/>
          <w:sz w:val="21"/>
          <w:szCs w:val="21"/>
        </w:rPr>
      </w:pPr>
    </w:p>
    <w:p w:rsidR="00204C28" w:rsidRDefault="00204C28" w:rsidP="00D615FA">
      <w:pPr>
        <w:pStyle w:val="NoSpacing"/>
        <w:jc w:val="both"/>
        <w:rPr>
          <w:rFonts w:ascii="Helvetica Neue" w:hAnsi="Helvetica Neue" w:cs="Helvetica"/>
          <w:color w:val="323232"/>
          <w:sz w:val="21"/>
          <w:szCs w:val="21"/>
        </w:rPr>
      </w:pPr>
    </w:p>
    <w:p w:rsidR="00190E54" w:rsidRDefault="00190E54" w:rsidP="00D615FA">
      <w:pPr>
        <w:pStyle w:val="NoSpacing"/>
        <w:jc w:val="both"/>
        <w:rPr>
          <w:rFonts w:ascii="Helvetica Neue" w:hAnsi="Helvetica Neue" w:cs="Helvetica"/>
          <w:color w:val="323232"/>
          <w:sz w:val="21"/>
          <w:szCs w:val="21"/>
        </w:rPr>
      </w:pPr>
    </w:p>
    <w:p w:rsidR="00F839CB" w:rsidRDefault="00204C28" w:rsidP="00D615FA">
      <w:pPr>
        <w:pStyle w:val="NoSpacing"/>
        <w:jc w:val="both"/>
        <w:rPr>
          <w:rFonts w:ascii="Helvetica Neue" w:hAnsi="Helvetica Neue" w:cs="Helvetica"/>
          <w:color w:val="323232"/>
          <w:sz w:val="21"/>
          <w:szCs w:val="21"/>
        </w:rPr>
      </w:pPr>
      <w:r>
        <w:rPr>
          <w:rFonts w:ascii="Helvetica Neue" w:hAnsi="Helvetica Neue" w:cs="Helvetica"/>
          <w:color w:val="323232"/>
          <w:sz w:val="21"/>
          <w:szCs w:val="21"/>
        </w:rPr>
        <w:t>Figure 3</w:t>
      </w:r>
      <w:r w:rsidR="00F839CB">
        <w:rPr>
          <w:rFonts w:ascii="Helvetica Neue" w:hAnsi="Helvetica Neue" w:cs="Helvetica"/>
          <w:color w:val="323232"/>
          <w:sz w:val="21"/>
          <w:szCs w:val="21"/>
        </w:rPr>
        <w:t xml:space="preserve">. </w:t>
      </w:r>
      <w:r>
        <w:rPr>
          <w:rFonts w:ascii="Helvetica Neue" w:hAnsi="Helvetica Neue" w:cs="Helvetica"/>
          <w:color w:val="323232"/>
          <w:sz w:val="21"/>
          <w:szCs w:val="21"/>
        </w:rPr>
        <w:t xml:space="preserve">           </w:t>
      </w:r>
      <w:r w:rsidR="00F839CB">
        <w:rPr>
          <w:rFonts w:ascii="Helvetica Neue" w:hAnsi="Helvetica Neue" w:cs="Helvetica"/>
          <w:color w:val="323232"/>
          <w:sz w:val="21"/>
          <w:szCs w:val="21"/>
        </w:rPr>
        <w:t xml:space="preserve">                </w:t>
      </w:r>
      <w:r>
        <w:rPr>
          <w:rFonts w:ascii="Helvetica Neue" w:hAnsi="Helvetica Neue" w:cs="Helvetica"/>
          <w:color w:val="323232"/>
          <w:sz w:val="21"/>
          <w:szCs w:val="21"/>
        </w:rPr>
        <w:t xml:space="preserve">  </w:t>
      </w:r>
      <w:r w:rsidR="00190E54">
        <w:rPr>
          <w:rFonts w:ascii="Helvetica Neue" w:hAnsi="Helvetica Neue" w:cs="Helvetica"/>
          <w:color w:val="323232"/>
          <w:sz w:val="21"/>
          <w:szCs w:val="21"/>
        </w:rPr>
        <w:t xml:space="preserve">     </w:t>
      </w:r>
      <w:r w:rsidR="00F839CB">
        <w:rPr>
          <w:rFonts w:ascii="Helvetica Neue" w:hAnsi="Helvetica Neue" w:cs="Helvetica"/>
          <w:color w:val="323232"/>
          <w:sz w:val="21"/>
          <w:szCs w:val="21"/>
        </w:rPr>
        <w:t>Liquid Compost/ Mycorrhizae Drench</w:t>
      </w:r>
      <w:r>
        <w:rPr>
          <w:rFonts w:ascii="Helvetica Neue" w:hAnsi="Helvetica Neue" w:cs="Helvetica"/>
          <w:color w:val="323232"/>
          <w:sz w:val="21"/>
          <w:szCs w:val="21"/>
        </w:rPr>
        <w:t xml:space="preserve">      </w:t>
      </w:r>
    </w:p>
    <w:p w:rsidR="00204C28" w:rsidRDefault="00F839CB" w:rsidP="00D615FA">
      <w:pPr>
        <w:pStyle w:val="NoSpacing"/>
        <w:jc w:val="both"/>
        <w:rPr>
          <w:rFonts w:ascii="Helvetica Neue" w:hAnsi="Helvetica Neue" w:cs="Helvetica"/>
          <w:color w:val="323232"/>
          <w:sz w:val="21"/>
          <w:szCs w:val="21"/>
        </w:rPr>
      </w:pPr>
      <w:r>
        <w:rPr>
          <w:rFonts w:ascii="Helvetica Neue" w:hAnsi="Helvetica Neue" w:cs="Helvetica"/>
          <w:color w:val="323232"/>
          <w:sz w:val="21"/>
          <w:szCs w:val="21"/>
        </w:rPr>
        <w:t xml:space="preserve">                               </w:t>
      </w:r>
      <w:r w:rsidR="00204C28">
        <w:rPr>
          <w:rFonts w:ascii="Helvetica Neue" w:hAnsi="Helvetica Neue" w:cs="Helvetica"/>
          <w:color w:val="323232"/>
          <w:sz w:val="21"/>
          <w:szCs w:val="21"/>
        </w:rPr>
        <w:t xml:space="preserve"> (Green Control, Red One Treatment, </w:t>
      </w:r>
      <w:r w:rsidR="007206C3">
        <w:rPr>
          <w:rFonts w:ascii="Helvetica Neue" w:hAnsi="Helvetica Neue" w:cs="Helvetica"/>
          <w:color w:val="323232"/>
          <w:sz w:val="21"/>
          <w:szCs w:val="21"/>
        </w:rPr>
        <w:t>Blue</w:t>
      </w:r>
      <w:bookmarkStart w:id="0" w:name="_GoBack"/>
      <w:bookmarkEnd w:id="0"/>
      <w:r w:rsidR="00204C28">
        <w:rPr>
          <w:rFonts w:ascii="Helvetica Neue" w:hAnsi="Helvetica Neue" w:cs="Helvetica"/>
          <w:color w:val="323232"/>
          <w:sz w:val="21"/>
          <w:szCs w:val="21"/>
        </w:rPr>
        <w:t xml:space="preserve"> Two Treatments) </w:t>
      </w:r>
    </w:p>
    <w:p w:rsidR="00B20EE4" w:rsidRDefault="00B20EE4" w:rsidP="00D615FA">
      <w:pPr>
        <w:pStyle w:val="NoSpacing"/>
        <w:jc w:val="both"/>
        <w:rPr>
          <w:rFonts w:ascii="Helvetica Neue" w:hAnsi="Helvetica Neue" w:cs="Helvetica"/>
          <w:color w:val="323232"/>
          <w:sz w:val="21"/>
          <w:szCs w:val="21"/>
        </w:rPr>
      </w:pPr>
      <w:r w:rsidRPr="00B20EE4">
        <w:rPr>
          <w:rFonts w:ascii="Helvetica Neue" w:hAnsi="Helvetica Neue" w:cs="Helvetica"/>
          <w:noProof/>
          <w:color w:val="323232"/>
          <w:sz w:val="21"/>
          <w:szCs w:val="21"/>
        </w:rPr>
        <w:drawing>
          <wp:inline distT="0" distB="0" distL="0" distR="0">
            <wp:extent cx="5943600" cy="46568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56841"/>
                    </a:xfrm>
                    <a:prstGeom prst="rect">
                      <a:avLst/>
                    </a:prstGeom>
                    <a:noFill/>
                    <a:ln>
                      <a:noFill/>
                    </a:ln>
                  </pic:spPr>
                </pic:pic>
              </a:graphicData>
            </a:graphic>
          </wp:inline>
        </w:drawing>
      </w:r>
    </w:p>
    <w:p w:rsidR="00760B79" w:rsidRDefault="00760B79" w:rsidP="00D615FA">
      <w:pPr>
        <w:pStyle w:val="NoSpacing"/>
        <w:jc w:val="both"/>
        <w:rPr>
          <w:rFonts w:ascii="Helvetica Neue" w:hAnsi="Helvetica Neue" w:cs="Helvetica"/>
          <w:color w:val="323232"/>
          <w:sz w:val="21"/>
          <w:szCs w:val="21"/>
        </w:rPr>
      </w:pPr>
    </w:p>
    <w:p w:rsidR="0056705E" w:rsidRDefault="0056705E" w:rsidP="00D615FA">
      <w:pPr>
        <w:pStyle w:val="NoSpacing"/>
        <w:jc w:val="both"/>
        <w:rPr>
          <w:rFonts w:ascii="Helvetica Neue" w:hAnsi="Helvetica Neue" w:cs="Helvetica"/>
          <w:color w:val="323232"/>
          <w:sz w:val="21"/>
          <w:szCs w:val="21"/>
        </w:rPr>
      </w:pPr>
    </w:p>
    <w:p w:rsidR="00411227" w:rsidRDefault="00F839CB" w:rsidP="00411227">
      <w:pPr>
        <w:pStyle w:val="NoSpacing"/>
        <w:jc w:val="both"/>
        <w:rPr>
          <w:rFonts w:ascii="Times New Roman" w:hAnsi="Times New Roman" w:cs="Times New Roman"/>
          <w:i/>
          <w:color w:val="323232"/>
          <w:sz w:val="24"/>
          <w:szCs w:val="24"/>
          <w:u w:val="single"/>
        </w:rPr>
      </w:pPr>
      <w:r w:rsidRPr="00190E54">
        <w:rPr>
          <w:rFonts w:ascii="Times New Roman" w:hAnsi="Times New Roman" w:cs="Times New Roman"/>
          <w:i/>
          <w:color w:val="323232"/>
          <w:sz w:val="24"/>
          <w:szCs w:val="24"/>
          <w:u w:val="single"/>
        </w:rPr>
        <w:t>Discussion and Conclusions.</w:t>
      </w:r>
    </w:p>
    <w:p w:rsidR="008E3B9E" w:rsidRDefault="008E3B9E" w:rsidP="00411227">
      <w:pPr>
        <w:pStyle w:val="NoSpacing"/>
        <w:jc w:val="both"/>
        <w:rPr>
          <w:rFonts w:ascii="Times New Roman" w:hAnsi="Times New Roman" w:cs="Times New Roman"/>
          <w:color w:val="323232"/>
          <w:sz w:val="24"/>
          <w:szCs w:val="24"/>
        </w:rPr>
      </w:pPr>
    </w:p>
    <w:p w:rsidR="008E3B9E" w:rsidRDefault="008E3B9E" w:rsidP="00411227">
      <w:pPr>
        <w:pStyle w:val="NoSpacing"/>
        <w:jc w:val="both"/>
        <w:rPr>
          <w:rFonts w:ascii="Times New Roman" w:hAnsi="Times New Roman" w:cs="Times New Roman"/>
          <w:i/>
          <w:color w:val="323232"/>
          <w:sz w:val="24"/>
          <w:szCs w:val="24"/>
        </w:rPr>
      </w:pPr>
      <w:r>
        <w:rPr>
          <w:rFonts w:ascii="Times New Roman" w:hAnsi="Times New Roman" w:cs="Times New Roman"/>
          <w:color w:val="323232"/>
          <w:sz w:val="24"/>
          <w:szCs w:val="24"/>
        </w:rPr>
        <w:t>Greenhouse production growers want to grow beautiful plants that will not only sell but do well in the landscape once planted. Growers are looking for (1) improved plant root development and plant growth (2) Increased quality and quantity of flowers/fruits (3) Improved nutrient and water intake (4) Increased resistance to stress, root disease and transplant shock.</w:t>
      </w:r>
      <w:r w:rsidR="009C1B87">
        <w:rPr>
          <w:rFonts w:ascii="Times New Roman" w:hAnsi="Times New Roman" w:cs="Times New Roman"/>
          <w:color w:val="323232"/>
          <w:sz w:val="24"/>
          <w:szCs w:val="24"/>
        </w:rPr>
        <w:t xml:space="preserve"> </w:t>
      </w:r>
      <w:bookmarkStart w:id="1" w:name="_Hlk502927139"/>
      <w:r w:rsidR="009C1B87">
        <w:rPr>
          <w:rFonts w:ascii="Times New Roman" w:hAnsi="Times New Roman" w:cs="Times New Roman"/>
          <w:color w:val="323232"/>
          <w:sz w:val="24"/>
          <w:szCs w:val="24"/>
        </w:rPr>
        <w:t>This initial study showed that the use of Compost Tea/Mycorrhizae as amendment</w:t>
      </w:r>
      <w:r w:rsidR="00835A51">
        <w:rPr>
          <w:rFonts w:ascii="Times New Roman" w:hAnsi="Times New Roman" w:cs="Times New Roman"/>
          <w:color w:val="323232"/>
          <w:sz w:val="24"/>
          <w:szCs w:val="24"/>
        </w:rPr>
        <w:t>s</w:t>
      </w:r>
      <w:r w:rsidR="009C1B87">
        <w:rPr>
          <w:rFonts w:ascii="Times New Roman" w:hAnsi="Times New Roman" w:cs="Times New Roman"/>
          <w:color w:val="323232"/>
          <w:sz w:val="24"/>
          <w:szCs w:val="24"/>
        </w:rPr>
        <w:t xml:space="preserve"> to the growing schedule in the greenhouse environment can have positive benefits for plants </w:t>
      </w:r>
      <w:r w:rsidR="001B5B01">
        <w:rPr>
          <w:rFonts w:ascii="Times New Roman" w:hAnsi="Times New Roman" w:cs="Times New Roman"/>
          <w:color w:val="323232"/>
          <w:sz w:val="24"/>
          <w:szCs w:val="24"/>
        </w:rPr>
        <w:t xml:space="preserve">like </w:t>
      </w:r>
      <w:r w:rsidR="009C1B87">
        <w:rPr>
          <w:rFonts w:ascii="Times New Roman" w:hAnsi="Times New Roman" w:cs="Times New Roman"/>
          <w:color w:val="323232"/>
          <w:sz w:val="24"/>
          <w:szCs w:val="24"/>
        </w:rPr>
        <w:t>those found in studies from organic field growing environments.</w:t>
      </w:r>
      <w:bookmarkEnd w:id="1"/>
      <w:r w:rsidR="009C1B87">
        <w:rPr>
          <w:rFonts w:ascii="Times New Roman" w:hAnsi="Times New Roman" w:cs="Times New Roman"/>
          <w:color w:val="323232"/>
          <w:sz w:val="24"/>
          <w:szCs w:val="24"/>
        </w:rPr>
        <w:t xml:space="preserve"> </w:t>
      </w:r>
      <w:r w:rsidR="009C1B87" w:rsidRPr="009C1B87">
        <w:rPr>
          <w:rFonts w:ascii="Times New Roman" w:hAnsi="Times New Roman" w:cs="Times New Roman"/>
          <w:i/>
          <w:color w:val="323232"/>
          <w:sz w:val="24"/>
          <w:szCs w:val="24"/>
        </w:rPr>
        <w:t>See</w:t>
      </w:r>
      <w:r w:rsidR="009C1B87">
        <w:rPr>
          <w:rFonts w:ascii="Times New Roman" w:hAnsi="Times New Roman" w:cs="Times New Roman"/>
          <w:i/>
          <w:color w:val="323232"/>
          <w:sz w:val="24"/>
          <w:szCs w:val="24"/>
        </w:rPr>
        <w:t xml:space="preserve"> (Scotti, Liguori, Pane)</w:t>
      </w:r>
    </w:p>
    <w:p w:rsidR="00E9787E" w:rsidRDefault="00E9787E" w:rsidP="00411227">
      <w:pPr>
        <w:pStyle w:val="NoSpacing"/>
        <w:jc w:val="both"/>
        <w:rPr>
          <w:rFonts w:ascii="Times New Roman" w:hAnsi="Times New Roman" w:cs="Times New Roman"/>
          <w:i/>
          <w:color w:val="323232"/>
          <w:sz w:val="24"/>
          <w:szCs w:val="24"/>
        </w:rPr>
      </w:pPr>
    </w:p>
    <w:p w:rsidR="00C631E3" w:rsidRDefault="00E9787E" w:rsidP="00411227">
      <w:pPr>
        <w:pStyle w:val="NoSpacing"/>
        <w:jc w:val="both"/>
        <w:rPr>
          <w:rFonts w:ascii="Times New Roman" w:hAnsi="Times New Roman" w:cs="Times New Roman"/>
          <w:color w:val="323232"/>
          <w:sz w:val="24"/>
          <w:szCs w:val="24"/>
        </w:rPr>
      </w:pPr>
      <w:r>
        <w:rPr>
          <w:rFonts w:ascii="Times New Roman" w:hAnsi="Times New Roman" w:cs="Times New Roman"/>
          <w:color w:val="323232"/>
          <w:sz w:val="24"/>
          <w:szCs w:val="24"/>
        </w:rPr>
        <w:t xml:space="preserve">The significant increases of </w:t>
      </w:r>
      <w:r w:rsidRPr="00835A51">
        <w:rPr>
          <w:rFonts w:ascii="Times New Roman" w:hAnsi="Times New Roman" w:cs="Times New Roman"/>
          <w:color w:val="323232"/>
          <w:sz w:val="24"/>
          <w:szCs w:val="24"/>
        </w:rPr>
        <w:t>26% in height, 35% branching and 44% in biomass</w:t>
      </w:r>
      <w:r>
        <w:rPr>
          <w:rFonts w:ascii="Times New Roman" w:hAnsi="Times New Roman" w:cs="Times New Roman"/>
          <w:color w:val="323232"/>
          <w:sz w:val="24"/>
          <w:szCs w:val="24"/>
        </w:rPr>
        <w:t xml:space="preserve"> point to the efficiency in root development, nutrient efficiency and water uptake. </w:t>
      </w:r>
      <w:r w:rsidR="00D54957">
        <w:rPr>
          <w:rFonts w:ascii="Times New Roman" w:hAnsi="Times New Roman" w:cs="Times New Roman"/>
          <w:color w:val="323232"/>
          <w:sz w:val="24"/>
          <w:szCs w:val="24"/>
        </w:rPr>
        <w:t xml:space="preserve">In the second week height measurement (week 28) there was a surprising difference as the control was 1.7 inches higher than </w:t>
      </w:r>
      <w:r w:rsidR="003D2870">
        <w:rPr>
          <w:rFonts w:ascii="Times New Roman" w:hAnsi="Times New Roman" w:cs="Times New Roman"/>
          <w:color w:val="323232"/>
          <w:sz w:val="24"/>
          <w:szCs w:val="24"/>
        </w:rPr>
        <w:t xml:space="preserve">the </w:t>
      </w:r>
      <w:r w:rsidR="00D54957">
        <w:rPr>
          <w:rFonts w:ascii="Times New Roman" w:hAnsi="Times New Roman" w:cs="Times New Roman"/>
          <w:color w:val="323232"/>
          <w:sz w:val="24"/>
          <w:szCs w:val="24"/>
        </w:rPr>
        <w:t>two-treatment sample</w:t>
      </w:r>
      <w:r w:rsidR="00C631E3">
        <w:rPr>
          <w:rFonts w:ascii="Times New Roman" w:hAnsi="Times New Roman" w:cs="Times New Roman"/>
          <w:color w:val="323232"/>
          <w:sz w:val="24"/>
          <w:szCs w:val="24"/>
        </w:rPr>
        <w:t xml:space="preserve">. </w:t>
      </w:r>
      <w:r w:rsidR="00D54957">
        <w:rPr>
          <w:rFonts w:ascii="Times New Roman" w:hAnsi="Times New Roman" w:cs="Times New Roman"/>
          <w:color w:val="323232"/>
          <w:sz w:val="24"/>
          <w:szCs w:val="24"/>
        </w:rPr>
        <w:t xml:space="preserve">This was reversed by (week 34) at the end of the study with the two-treatment sample 2.5 inches higher. </w:t>
      </w:r>
      <w:r w:rsidR="008F5DBA">
        <w:rPr>
          <w:rFonts w:ascii="Times New Roman" w:hAnsi="Times New Roman" w:cs="Times New Roman"/>
          <w:color w:val="323232"/>
          <w:sz w:val="24"/>
          <w:szCs w:val="24"/>
        </w:rPr>
        <w:t xml:space="preserve">This points to the idea that initially the plant goes through an adjustment in its nutrient signaling to support root development </w:t>
      </w:r>
      <w:r w:rsidR="00C631E3">
        <w:rPr>
          <w:rFonts w:ascii="Times New Roman" w:hAnsi="Times New Roman" w:cs="Times New Roman"/>
          <w:color w:val="323232"/>
          <w:sz w:val="24"/>
          <w:szCs w:val="24"/>
        </w:rPr>
        <w:t xml:space="preserve">comparatively </w:t>
      </w:r>
      <w:r w:rsidR="008F5DBA">
        <w:rPr>
          <w:rFonts w:ascii="Times New Roman" w:hAnsi="Times New Roman" w:cs="Times New Roman"/>
          <w:color w:val="323232"/>
          <w:sz w:val="24"/>
          <w:szCs w:val="24"/>
        </w:rPr>
        <w:t xml:space="preserve">over shoot </w:t>
      </w:r>
      <w:r w:rsidR="008F5DBA">
        <w:rPr>
          <w:rFonts w:ascii="Times New Roman" w:hAnsi="Times New Roman" w:cs="Times New Roman"/>
          <w:color w:val="323232"/>
          <w:sz w:val="24"/>
          <w:szCs w:val="24"/>
        </w:rPr>
        <w:lastRenderedPageBreak/>
        <w:t xml:space="preserve">development. Noted was the comparative slowdown in the two-treatment growth sample compared to the one treatment sample </w:t>
      </w:r>
      <w:r w:rsidR="003A35E4">
        <w:rPr>
          <w:rFonts w:ascii="Times New Roman" w:hAnsi="Times New Roman" w:cs="Times New Roman"/>
          <w:color w:val="323232"/>
          <w:sz w:val="24"/>
          <w:szCs w:val="24"/>
        </w:rPr>
        <w:t xml:space="preserve">in branching and height in </w:t>
      </w:r>
      <w:r w:rsidR="008F5DBA">
        <w:rPr>
          <w:rFonts w:ascii="Times New Roman" w:hAnsi="Times New Roman" w:cs="Times New Roman"/>
          <w:color w:val="323232"/>
          <w:sz w:val="24"/>
          <w:szCs w:val="24"/>
        </w:rPr>
        <w:t>Week 30</w:t>
      </w:r>
      <w:r w:rsidR="00C631E3">
        <w:rPr>
          <w:rFonts w:ascii="Times New Roman" w:hAnsi="Times New Roman" w:cs="Times New Roman"/>
          <w:color w:val="323232"/>
          <w:sz w:val="24"/>
          <w:szCs w:val="24"/>
        </w:rPr>
        <w:t xml:space="preserve"> after compost tea/mycorrhizae</w:t>
      </w:r>
      <w:r w:rsidR="003D2870">
        <w:rPr>
          <w:rFonts w:ascii="Times New Roman" w:hAnsi="Times New Roman" w:cs="Times New Roman"/>
          <w:color w:val="323232"/>
          <w:sz w:val="24"/>
          <w:szCs w:val="24"/>
        </w:rPr>
        <w:t xml:space="preserve"> application</w:t>
      </w:r>
      <w:r w:rsidR="008F5DBA">
        <w:rPr>
          <w:rFonts w:ascii="Times New Roman" w:hAnsi="Times New Roman" w:cs="Times New Roman"/>
          <w:color w:val="323232"/>
          <w:sz w:val="24"/>
          <w:szCs w:val="24"/>
        </w:rPr>
        <w:t xml:space="preserve">. </w:t>
      </w:r>
      <w:r w:rsidR="003A35E4">
        <w:rPr>
          <w:rFonts w:ascii="Times New Roman" w:hAnsi="Times New Roman" w:cs="Times New Roman"/>
          <w:color w:val="323232"/>
          <w:sz w:val="24"/>
          <w:szCs w:val="24"/>
        </w:rPr>
        <w:t>Again,</w:t>
      </w:r>
      <w:r w:rsidR="008F5DBA">
        <w:rPr>
          <w:rFonts w:ascii="Times New Roman" w:hAnsi="Times New Roman" w:cs="Times New Roman"/>
          <w:color w:val="323232"/>
          <w:sz w:val="24"/>
          <w:szCs w:val="24"/>
        </w:rPr>
        <w:t xml:space="preserve"> the </w:t>
      </w:r>
      <w:bookmarkStart w:id="2" w:name="_Hlk502927293"/>
      <w:r w:rsidR="008F5DBA">
        <w:rPr>
          <w:rFonts w:ascii="Times New Roman" w:hAnsi="Times New Roman" w:cs="Times New Roman"/>
          <w:color w:val="323232"/>
          <w:sz w:val="24"/>
          <w:szCs w:val="24"/>
        </w:rPr>
        <w:t xml:space="preserve">plant </w:t>
      </w:r>
      <w:r w:rsidR="003A35E4">
        <w:rPr>
          <w:rFonts w:ascii="Times New Roman" w:hAnsi="Times New Roman" w:cs="Times New Roman"/>
          <w:color w:val="323232"/>
          <w:sz w:val="24"/>
          <w:szCs w:val="24"/>
        </w:rPr>
        <w:t xml:space="preserve">seems to comparatively stall to support roots before taking off again in normal growth pattern. </w:t>
      </w:r>
      <w:r w:rsidR="00C631E3">
        <w:rPr>
          <w:rFonts w:ascii="Times New Roman" w:hAnsi="Times New Roman" w:cs="Times New Roman"/>
          <w:color w:val="323232"/>
          <w:sz w:val="24"/>
          <w:szCs w:val="24"/>
        </w:rPr>
        <w:t>This idea is supported in week 30 as all three treatment groups are</w:t>
      </w:r>
      <w:r w:rsidR="003A405E">
        <w:rPr>
          <w:rFonts w:ascii="Times New Roman" w:hAnsi="Times New Roman" w:cs="Times New Roman"/>
          <w:color w:val="323232"/>
          <w:sz w:val="24"/>
          <w:szCs w:val="24"/>
        </w:rPr>
        <w:t xml:space="preserve"> </w:t>
      </w:r>
      <w:r w:rsidR="00C631E3">
        <w:rPr>
          <w:rFonts w:ascii="Times New Roman" w:hAnsi="Times New Roman" w:cs="Times New Roman"/>
          <w:color w:val="323232"/>
          <w:sz w:val="24"/>
          <w:szCs w:val="24"/>
        </w:rPr>
        <w:t xml:space="preserve">comparatively at the same place </w:t>
      </w:r>
      <w:r w:rsidR="003A405E">
        <w:rPr>
          <w:rFonts w:ascii="Times New Roman" w:hAnsi="Times New Roman" w:cs="Times New Roman"/>
          <w:color w:val="323232"/>
          <w:sz w:val="24"/>
          <w:szCs w:val="24"/>
        </w:rPr>
        <w:t>regarding</w:t>
      </w:r>
      <w:r w:rsidR="00C631E3">
        <w:rPr>
          <w:rFonts w:ascii="Times New Roman" w:hAnsi="Times New Roman" w:cs="Times New Roman"/>
          <w:color w:val="323232"/>
          <w:sz w:val="24"/>
          <w:szCs w:val="24"/>
        </w:rPr>
        <w:t xml:space="preserve"> branching and height yet in total biomass the red and blue treatment groups are establishing a</w:t>
      </w:r>
      <w:r w:rsidR="001B5B01">
        <w:rPr>
          <w:rFonts w:ascii="Times New Roman" w:hAnsi="Times New Roman" w:cs="Times New Roman"/>
          <w:color w:val="323232"/>
          <w:sz w:val="24"/>
          <w:szCs w:val="24"/>
        </w:rPr>
        <w:t>t a</w:t>
      </w:r>
      <w:r w:rsidR="00C631E3">
        <w:rPr>
          <w:rFonts w:ascii="Times New Roman" w:hAnsi="Times New Roman" w:cs="Times New Roman"/>
          <w:color w:val="323232"/>
          <w:sz w:val="24"/>
          <w:szCs w:val="24"/>
        </w:rPr>
        <w:t xml:space="preserve"> respective 60% and 90% greater dry weight</w:t>
      </w:r>
      <w:r w:rsidR="003A405E">
        <w:rPr>
          <w:rFonts w:ascii="Times New Roman" w:hAnsi="Times New Roman" w:cs="Times New Roman"/>
          <w:color w:val="323232"/>
          <w:sz w:val="24"/>
          <w:szCs w:val="24"/>
        </w:rPr>
        <w:t xml:space="preserve"> than control</w:t>
      </w:r>
      <w:bookmarkEnd w:id="2"/>
      <w:r w:rsidR="003A405E">
        <w:rPr>
          <w:rFonts w:ascii="Times New Roman" w:hAnsi="Times New Roman" w:cs="Times New Roman"/>
          <w:color w:val="323232"/>
          <w:sz w:val="24"/>
          <w:szCs w:val="24"/>
        </w:rPr>
        <w:t>.</w:t>
      </w:r>
    </w:p>
    <w:p w:rsidR="003A405E" w:rsidRDefault="003A405E" w:rsidP="00411227">
      <w:pPr>
        <w:pStyle w:val="NoSpacing"/>
        <w:jc w:val="both"/>
        <w:rPr>
          <w:rFonts w:ascii="Times New Roman" w:hAnsi="Times New Roman" w:cs="Times New Roman"/>
          <w:color w:val="323232"/>
          <w:sz w:val="24"/>
          <w:szCs w:val="24"/>
        </w:rPr>
      </w:pPr>
    </w:p>
    <w:p w:rsidR="003D2870" w:rsidRDefault="003A405E" w:rsidP="00411227">
      <w:pPr>
        <w:pStyle w:val="NoSpacing"/>
        <w:jc w:val="both"/>
        <w:rPr>
          <w:rFonts w:ascii="Times New Roman" w:hAnsi="Times New Roman" w:cs="Times New Roman"/>
          <w:color w:val="323232"/>
          <w:sz w:val="24"/>
          <w:szCs w:val="24"/>
        </w:rPr>
      </w:pPr>
      <w:r>
        <w:rPr>
          <w:rFonts w:ascii="Times New Roman" w:hAnsi="Times New Roman" w:cs="Times New Roman"/>
          <w:color w:val="323232"/>
          <w:sz w:val="24"/>
          <w:szCs w:val="24"/>
        </w:rPr>
        <w:t xml:space="preserve">As this study maintained two ingredients as additions/supplements (compost tea and mycorrhizae) the contribution of each separately would have to be studied. </w:t>
      </w:r>
      <w:r w:rsidR="003D2870">
        <w:rPr>
          <w:rFonts w:ascii="Times New Roman" w:hAnsi="Times New Roman" w:cs="Times New Roman"/>
          <w:color w:val="323232"/>
          <w:sz w:val="24"/>
          <w:szCs w:val="24"/>
        </w:rPr>
        <w:t>Also, t</w:t>
      </w:r>
      <w:r>
        <w:rPr>
          <w:rFonts w:ascii="Times New Roman" w:hAnsi="Times New Roman" w:cs="Times New Roman"/>
          <w:color w:val="323232"/>
          <w:sz w:val="24"/>
          <w:szCs w:val="24"/>
        </w:rPr>
        <w:t xml:space="preserve">he </w:t>
      </w:r>
      <w:r w:rsidR="003515CD">
        <w:rPr>
          <w:rFonts w:ascii="Times New Roman" w:hAnsi="Times New Roman" w:cs="Times New Roman"/>
          <w:color w:val="323232"/>
          <w:sz w:val="24"/>
          <w:szCs w:val="24"/>
        </w:rPr>
        <w:t xml:space="preserve">industrial </w:t>
      </w:r>
      <w:r>
        <w:rPr>
          <w:rFonts w:ascii="Times New Roman" w:hAnsi="Times New Roman" w:cs="Times New Roman"/>
          <w:color w:val="323232"/>
          <w:sz w:val="24"/>
          <w:szCs w:val="24"/>
        </w:rPr>
        <w:t>fertilizers w</w:t>
      </w:r>
      <w:r w:rsidR="003515CD">
        <w:rPr>
          <w:rFonts w:ascii="Times New Roman" w:hAnsi="Times New Roman" w:cs="Times New Roman"/>
          <w:color w:val="323232"/>
          <w:sz w:val="24"/>
          <w:szCs w:val="24"/>
        </w:rPr>
        <w:t xml:space="preserve">ere </w:t>
      </w:r>
      <w:r>
        <w:rPr>
          <w:rFonts w:ascii="Times New Roman" w:hAnsi="Times New Roman" w:cs="Times New Roman"/>
          <w:color w:val="323232"/>
          <w:sz w:val="24"/>
          <w:szCs w:val="24"/>
        </w:rPr>
        <w:t xml:space="preserve">applied </w:t>
      </w:r>
      <w:r w:rsidR="003515CD">
        <w:rPr>
          <w:rFonts w:ascii="Times New Roman" w:hAnsi="Times New Roman" w:cs="Times New Roman"/>
          <w:color w:val="323232"/>
          <w:sz w:val="24"/>
          <w:szCs w:val="24"/>
        </w:rPr>
        <w:t xml:space="preserve">on the same weekly constant feed bases for all groups </w:t>
      </w:r>
      <w:r w:rsidR="003D2870">
        <w:rPr>
          <w:rFonts w:ascii="Times New Roman" w:hAnsi="Times New Roman" w:cs="Times New Roman"/>
          <w:color w:val="323232"/>
          <w:sz w:val="24"/>
          <w:szCs w:val="24"/>
        </w:rPr>
        <w:t>in</w:t>
      </w:r>
      <w:r w:rsidR="003515CD">
        <w:rPr>
          <w:rFonts w:ascii="Times New Roman" w:hAnsi="Times New Roman" w:cs="Times New Roman"/>
          <w:color w:val="323232"/>
          <w:sz w:val="24"/>
          <w:szCs w:val="24"/>
        </w:rPr>
        <w:t xml:space="preserve"> a 20-10-20 or 15-0-15 </w:t>
      </w:r>
      <w:r w:rsidR="003D2870">
        <w:rPr>
          <w:rFonts w:ascii="Times New Roman" w:hAnsi="Times New Roman" w:cs="Times New Roman"/>
          <w:color w:val="323232"/>
          <w:sz w:val="24"/>
          <w:szCs w:val="24"/>
        </w:rPr>
        <w:t xml:space="preserve">Nitrogen/Phosphorous/Potassium </w:t>
      </w:r>
      <w:r w:rsidR="003515CD">
        <w:rPr>
          <w:rFonts w:ascii="Times New Roman" w:hAnsi="Times New Roman" w:cs="Times New Roman"/>
          <w:color w:val="323232"/>
          <w:sz w:val="24"/>
          <w:szCs w:val="24"/>
        </w:rPr>
        <w:t xml:space="preserve">ratio. When measured across the eight </w:t>
      </w:r>
      <w:r w:rsidR="003D2870">
        <w:rPr>
          <w:rFonts w:ascii="Times New Roman" w:hAnsi="Times New Roman" w:cs="Times New Roman"/>
          <w:color w:val="323232"/>
          <w:sz w:val="24"/>
          <w:szCs w:val="24"/>
        </w:rPr>
        <w:t>weeks</w:t>
      </w:r>
      <w:r w:rsidR="003515CD">
        <w:rPr>
          <w:rFonts w:ascii="Times New Roman" w:hAnsi="Times New Roman" w:cs="Times New Roman"/>
          <w:color w:val="323232"/>
          <w:sz w:val="24"/>
          <w:szCs w:val="24"/>
        </w:rPr>
        <w:t xml:space="preserve"> study the fertility levels remained surprisingly close </w:t>
      </w:r>
      <w:r w:rsidR="003D2870">
        <w:rPr>
          <w:rFonts w:ascii="Times New Roman" w:hAnsi="Times New Roman" w:cs="Times New Roman"/>
          <w:color w:val="323232"/>
          <w:sz w:val="24"/>
          <w:szCs w:val="24"/>
        </w:rPr>
        <w:t xml:space="preserve">(measured in EC) </w:t>
      </w:r>
      <w:r w:rsidR="003515CD">
        <w:rPr>
          <w:rFonts w:ascii="Times New Roman" w:hAnsi="Times New Roman" w:cs="Times New Roman"/>
          <w:color w:val="323232"/>
          <w:sz w:val="24"/>
          <w:szCs w:val="24"/>
        </w:rPr>
        <w:t>compared to the significant difference in plant growth</w:t>
      </w:r>
      <w:r w:rsidR="003D2870">
        <w:rPr>
          <w:rFonts w:ascii="Times New Roman" w:hAnsi="Times New Roman" w:cs="Times New Roman"/>
          <w:color w:val="323232"/>
          <w:sz w:val="24"/>
          <w:szCs w:val="24"/>
        </w:rPr>
        <w:t xml:space="preserve"> between groups. This suggest that the minerals applied bound to the mix in pot the same yet more are taken up by treatment groups rather than being washed out of pot during irrigation. </w:t>
      </w:r>
      <w:r w:rsidR="007D4D39">
        <w:rPr>
          <w:rFonts w:ascii="Times New Roman" w:hAnsi="Times New Roman" w:cs="Times New Roman"/>
          <w:color w:val="323232"/>
          <w:sz w:val="24"/>
          <w:szCs w:val="24"/>
        </w:rPr>
        <w:t xml:space="preserve">In the two treatment groups there was a </w:t>
      </w:r>
      <w:r w:rsidR="00643C02">
        <w:rPr>
          <w:rFonts w:ascii="Times New Roman" w:hAnsi="Times New Roman" w:cs="Times New Roman"/>
          <w:color w:val="323232"/>
          <w:sz w:val="24"/>
          <w:szCs w:val="24"/>
        </w:rPr>
        <w:t xml:space="preserve">very </w:t>
      </w:r>
      <w:r w:rsidR="007D4D39">
        <w:rPr>
          <w:rFonts w:ascii="Times New Roman" w:hAnsi="Times New Roman" w:cs="Times New Roman"/>
          <w:color w:val="323232"/>
          <w:sz w:val="24"/>
          <w:szCs w:val="24"/>
        </w:rPr>
        <w:t xml:space="preserve">slight incidence of PH drift downward that required adjustment using relative larger than expected amounts of 15-0-15 calcium based fertilizer to adjust PH upward. </w:t>
      </w:r>
    </w:p>
    <w:p w:rsidR="003D2870" w:rsidRDefault="003D2870" w:rsidP="00411227">
      <w:pPr>
        <w:pStyle w:val="NoSpacing"/>
        <w:jc w:val="both"/>
        <w:rPr>
          <w:rFonts w:ascii="Times New Roman" w:hAnsi="Times New Roman" w:cs="Times New Roman"/>
          <w:color w:val="323232"/>
          <w:sz w:val="24"/>
          <w:szCs w:val="24"/>
        </w:rPr>
      </w:pPr>
    </w:p>
    <w:p w:rsidR="001B5B01" w:rsidRDefault="001B5B01" w:rsidP="00411227">
      <w:pPr>
        <w:pStyle w:val="NoSpacing"/>
        <w:jc w:val="both"/>
        <w:rPr>
          <w:rFonts w:ascii="Times New Roman" w:hAnsi="Times New Roman" w:cs="Times New Roman"/>
          <w:color w:val="323232"/>
          <w:sz w:val="24"/>
          <w:szCs w:val="24"/>
        </w:rPr>
      </w:pPr>
      <w:r>
        <w:rPr>
          <w:rFonts w:ascii="Times New Roman" w:hAnsi="Times New Roman" w:cs="Times New Roman"/>
          <w:color w:val="323232"/>
          <w:sz w:val="24"/>
          <w:szCs w:val="24"/>
        </w:rPr>
        <w:t>During the study there were no problems related to stress/ disease or insect pressure in any of the groups. A comparative study across many seasons with varying and more challenging climate</w:t>
      </w:r>
    </w:p>
    <w:p w:rsidR="00643C02" w:rsidRDefault="001B5B01" w:rsidP="00643C02">
      <w:pPr>
        <w:pStyle w:val="NoSpacing"/>
        <w:jc w:val="both"/>
        <w:rPr>
          <w:rFonts w:ascii="Times New Roman" w:hAnsi="Times New Roman" w:cs="Times New Roman"/>
          <w:sz w:val="24"/>
          <w:szCs w:val="24"/>
        </w:rPr>
      </w:pPr>
      <w:r>
        <w:rPr>
          <w:rFonts w:ascii="Times New Roman" w:hAnsi="Times New Roman" w:cs="Times New Roman"/>
          <w:color w:val="323232"/>
          <w:sz w:val="24"/>
          <w:szCs w:val="24"/>
        </w:rPr>
        <w:t xml:space="preserve">scenarios then the 2017 </w:t>
      </w:r>
      <w:r w:rsidR="00E65D1B">
        <w:rPr>
          <w:rFonts w:ascii="Times New Roman" w:hAnsi="Times New Roman" w:cs="Times New Roman"/>
          <w:color w:val="323232"/>
          <w:sz w:val="24"/>
          <w:szCs w:val="24"/>
        </w:rPr>
        <w:t>s</w:t>
      </w:r>
      <w:r>
        <w:rPr>
          <w:rFonts w:ascii="Times New Roman" w:hAnsi="Times New Roman" w:cs="Times New Roman"/>
          <w:color w:val="323232"/>
          <w:sz w:val="24"/>
          <w:szCs w:val="24"/>
        </w:rPr>
        <w:t xml:space="preserve">ummer would have to be studied. </w:t>
      </w:r>
      <w:r w:rsidR="00643C02">
        <w:rPr>
          <w:rFonts w:ascii="Times New Roman" w:hAnsi="Times New Roman" w:cs="Times New Roman"/>
          <w:color w:val="323232"/>
          <w:sz w:val="24"/>
          <w:szCs w:val="24"/>
        </w:rPr>
        <w:t>With the significant increase in root formation in the supplemented treatment groups it would be interesting to compare the relative drought tolerance in further studies. As only one crop was studied (Chrysanthemums) it will be necessary to evaluate the response of other greenhouse crops to these applications.</w:t>
      </w:r>
      <w:r w:rsidR="005D0329">
        <w:rPr>
          <w:rFonts w:ascii="Times New Roman" w:hAnsi="Times New Roman" w:cs="Times New Roman"/>
          <w:color w:val="323232"/>
          <w:sz w:val="24"/>
          <w:szCs w:val="24"/>
        </w:rPr>
        <w:t xml:space="preserve"> Further studies should consider comparative reductions in industrial fertilizers while holding constant compost tea/mycorrhizae applications. </w:t>
      </w:r>
      <w:r w:rsidR="00643C02">
        <w:rPr>
          <w:rFonts w:ascii="Times New Roman" w:hAnsi="Times New Roman" w:cs="Times New Roman"/>
          <w:color w:val="323232"/>
          <w:sz w:val="24"/>
          <w:szCs w:val="24"/>
        </w:rPr>
        <w:t xml:space="preserve">This study showed </w:t>
      </w:r>
      <w:r w:rsidR="008E246E">
        <w:rPr>
          <w:rFonts w:ascii="Times New Roman" w:hAnsi="Times New Roman" w:cs="Times New Roman"/>
          <w:color w:val="323232"/>
          <w:sz w:val="24"/>
          <w:szCs w:val="24"/>
        </w:rPr>
        <w:t xml:space="preserve">initial possibilities for </w:t>
      </w:r>
      <w:r w:rsidR="00643C02" w:rsidRPr="00190E54">
        <w:rPr>
          <w:rFonts w:ascii="Times New Roman" w:hAnsi="Times New Roman" w:cs="Times New Roman"/>
          <w:sz w:val="24"/>
          <w:szCs w:val="24"/>
        </w:rPr>
        <w:t xml:space="preserve">ornamental or vegetable </w:t>
      </w:r>
      <w:r w:rsidR="00E65D1B">
        <w:rPr>
          <w:rFonts w:ascii="Times New Roman" w:hAnsi="Times New Roman" w:cs="Times New Roman"/>
          <w:sz w:val="24"/>
          <w:szCs w:val="24"/>
        </w:rPr>
        <w:t xml:space="preserve">greenhouse container </w:t>
      </w:r>
      <w:r w:rsidR="00643C02" w:rsidRPr="00190E54">
        <w:rPr>
          <w:rFonts w:ascii="Times New Roman" w:hAnsi="Times New Roman" w:cs="Times New Roman"/>
          <w:sz w:val="24"/>
          <w:szCs w:val="24"/>
        </w:rPr>
        <w:t>plant production</w:t>
      </w:r>
      <w:r w:rsidR="00E65D1B">
        <w:rPr>
          <w:rFonts w:ascii="Times New Roman" w:hAnsi="Times New Roman" w:cs="Times New Roman"/>
          <w:sz w:val="24"/>
          <w:szCs w:val="24"/>
        </w:rPr>
        <w:t xml:space="preserve"> using liquid compost and mycorrhizae.</w:t>
      </w:r>
      <w:r w:rsidR="008E246E">
        <w:rPr>
          <w:rFonts w:ascii="Times New Roman" w:hAnsi="Times New Roman" w:cs="Times New Roman"/>
          <w:sz w:val="24"/>
          <w:szCs w:val="24"/>
        </w:rPr>
        <w:t xml:space="preserve"> Additional </w:t>
      </w:r>
      <w:r w:rsidR="009A43C4">
        <w:rPr>
          <w:rFonts w:ascii="Times New Roman" w:hAnsi="Times New Roman" w:cs="Times New Roman"/>
          <w:sz w:val="24"/>
          <w:szCs w:val="24"/>
        </w:rPr>
        <w:t>trials with</w:t>
      </w:r>
      <w:r w:rsidR="008E246E">
        <w:rPr>
          <w:rFonts w:ascii="Times New Roman" w:hAnsi="Times New Roman" w:cs="Times New Roman"/>
          <w:sz w:val="24"/>
          <w:szCs w:val="24"/>
        </w:rPr>
        <w:t xml:space="preserve"> other crops should be evaluated.</w:t>
      </w:r>
    </w:p>
    <w:p w:rsidR="00E65D1B" w:rsidRDefault="00E65D1B" w:rsidP="00643C02">
      <w:pPr>
        <w:pStyle w:val="NoSpacing"/>
        <w:jc w:val="both"/>
        <w:rPr>
          <w:rFonts w:ascii="Times New Roman" w:hAnsi="Times New Roman" w:cs="Times New Roman"/>
          <w:sz w:val="24"/>
          <w:szCs w:val="24"/>
        </w:rPr>
      </w:pPr>
    </w:p>
    <w:p w:rsidR="00411227" w:rsidRDefault="00E65D1B" w:rsidP="00411227">
      <w:pPr>
        <w:pStyle w:val="NoSpacing"/>
        <w:jc w:val="both"/>
        <w:rPr>
          <w:rFonts w:ascii="Helvetica Neue" w:hAnsi="Helvetica Neue" w:cs="Helvetica"/>
          <w:color w:val="323232"/>
          <w:sz w:val="21"/>
          <w:szCs w:val="21"/>
        </w:rPr>
      </w:pPr>
      <w:r w:rsidRPr="00E65D1B">
        <w:rPr>
          <w:rFonts w:ascii="Times New Roman" w:hAnsi="Times New Roman" w:cs="Times New Roman"/>
          <w:i/>
          <w:sz w:val="24"/>
          <w:szCs w:val="24"/>
          <w:u w:val="single"/>
        </w:rPr>
        <w:t>References</w:t>
      </w:r>
    </w:p>
    <w:p w:rsidR="00411227" w:rsidRDefault="00411227" w:rsidP="00411227">
      <w:pPr>
        <w:pStyle w:val="NoSpacing"/>
        <w:jc w:val="both"/>
        <w:rPr>
          <w:rFonts w:ascii="Helvetica Neue" w:hAnsi="Helvetica Neue" w:cs="Helvetica"/>
          <w:color w:val="323232"/>
          <w:sz w:val="21"/>
          <w:szCs w:val="21"/>
        </w:rPr>
      </w:pPr>
    </w:p>
    <w:p w:rsidR="005B4CC9" w:rsidRPr="00190E54" w:rsidRDefault="00E13F48">
      <w:pPr>
        <w:rPr>
          <w:rFonts w:ascii="Times New Roman" w:hAnsi="Times New Roman" w:cs="Times New Roman"/>
          <w:sz w:val="24"/>
          <w:szCs w:val="24"/>
        </w:rPr>
      </w:pPr>
      <w:r w:rsidRPr="00190E54">
        <w:rPr>
          <w:rFonts w:ascii="Times New Roman" w:hAnsi="Times New Roman" w:cs="Times New Roman"/>
          <w:bCs/>
          <w:sz w:val="24"/>
          <w:szCs w:val="24"/>
        </w:rPr>
        <w:t>Scotti</w:t>
      </w:r>
      <w:r w:rsidR="005E66A2" w:rsidRPr="00190E54">
        <w:rPr>
          <w:rFonts w:ascii="Times New Roman" w:hAnsi="Times New Roman" w:cs="Times New Roman"/>
          <w:bCs/>
          <w:sz w:val="24"/>
          <w:szCs w:val="24"/>
        </w:rPr>
        <w:t>, R.</w:t>
      </w:r>
      <w:r w:rsidRPr="00190E54">
        <w:rPr>
          <w:rFonts w:ascii="Times New Roman" w:hAnsi="Times New Roman" w:cs="Times New Roman"/>
          <w:bCs/>
          <w:sz w:val="24"/>
          <w:szCs w:val="24"/>
        </w:rPr>
        <w:t xml:space="preserve"> (2015). </w:t>
      </w:r>
      <w:r w:rsidR="00F91FC3" w:rsidRPr="00190E54">
        <w:rPr>
          <w:rFonts w:ascii="Times New Roman" w:hAnsi="Times New Roman" w:cs="Times New Roman"/>
          <w:color w:val="323232"/>
          <w:sz w:val="24"/>
          <w:szCs w:val="24"/>
        </w:rPr>
        <w:t xml:space="preserve">Organic amendments as sustainable tool to recovery fertility in intensive agriculture systems. </w:t>
      </w:r>
      <w:r w:rsidR="00F91FC3" w:rsidRPr="00190E54">
        <w:rPr>
          <w:rFonts w:ascii="Times New Roman" w:hAnsi="Times New Roman" w:cs="Times New Roman"/>
          <w:i/>
          <w:iCs/>
          <w:color w:val="323232"/>
          <w:sz w:val="24"/>
          <w:szCs w:val="24"/>
        </w:rPr>
        <w:t>Journal of soil science and plant nutrition,</w:t>
      </w:r>
      <w:r w:rsidR="00F91FC3" w:rsidRPr="00190E54">
        <w:rPr>
          <w:rFonts w:ascii="Times New Roman" w:hAnsi="Times New Roman" w:cs="Times New Roman"/>
          <w:color w:val="323232"/>
          <w:sz w:val="24"/>
          <w:szCs w:val="24"/>
        </w:rPr>
        <w:t xml:space="preserve"> </w:t>
      </w:r>
      <w:r w:rsidR="00F91FC3" w:rsidRPr="00190E54">
        <w:rPr>
          <w:rFonts w:ascii="Times New Roman" w:hAnsi="Times New Roman" w:cs="Times New Roman"/>
          <w:i/>
          <w:iCs/>
          <w:color w:val="323232"/>
          <w:sz w:val="24"/>
          <w:szCs w:val="24"/>
        </w:rPr>
        <w:t>Vol15 no2</w:t>
      </w:r>
      <w:r w:rsidR="00F91FC3" w:rsidRPr="00190E54">
        <w:rPr>
          <w:rFonts w:ascii="Times New Roman" w:hAnsi="Times New Roman" w:cs="Times New Roman"/>
          <w:color w:val="323232"/>
          <w:sz w:val="24"/>
          <w:szCs w:val="24"/>
        </w:rPr>
        <w:t xml:space="preserve">. </w:t>
      </w:r>
      <w:hyperlink r:id="rId10" w:history="1">
        <w:r w:rsidR="005B4CC9" w:rsidRPr="00190E54">
          <w:rPr>
            <w:rStyle w:val="Hyperlink"/>
            <w:rFonts w:ascii="Times New Roman" w:hAnsi="Times New Roman" w:cs="Times New Roman"/>
            <w:color w:val="auto"/>
            <w:sz w:val="24"/>
            <w:szCs w:val="24"/>
          </w:rPr>
          <w:t>http://dx.doi.org/10.4067/S0718-95162015005000031</w:t>
        </w:r>
      </w:hyperlink>
    </w:p>
    <w:p w:rsidR="007F0578" w:rsidRPr="00190E54" w:rsidRDefault="005B4CC9">
      <w:pPr>
        <w:rPr>
          <w:rFonts w:ascii="Times New Roman" w:hAnsi="Times New Roman" w:cs="Times New Roman"/>
          <w:sz w:val="24"/>
          <w:szCs w:val="24"/>
        </w:rPr>
      </w:pPr>
      <w:r w:rsidRPr="00190E54">
        <w:rPr>
          <w:rFonts w:ascii="Times New Roman" w:hAnsi="Times New Roman" w:cs="Times New Roman"/>
          <w:color w:val="323232"/>
          <w:sz w:val="24"/>
          <w:szCs w:val="24"/>
        </w:rPr>
        <w:t xml:space="preserve">Liguori, L., Pane, C., Albanese, D., Celano, G., Zaccardelli, M., &amp; Matteo, M. D. (2015). Compost and Compost Tea Management of Mini Watermelon Cultivations Affects the Chemical, </w:t>
      </w:r>
    </w:p>
    <w:p w:rsidR="00F50741" w:rsidRPr="00190E54" w:rsidRDefault="005E66A2">
      <w:pPr>
        <w:rPr>
          <w:rFonts w:ascii="Times New Roman" w:hAnsi="Times New Roman" w:cs="Times New Roman"/>
          <w:color w:val="323232"/>
          <w:sz w:val="24"/>
          <w:szCs w:val="24"/>
        </w:rPr>
      </w:pPr>
      <w:r w:rsidRPr="00190E54">
        <w:rPr>
          <w:rFonts w:ascii="Times New Roman" w:hAnsi="Times New Roman" w:cs="Times New Roman"/>
          <w:color w:val="323232"/>
          <w:sz w:val="24"/>
          <w:szCs w:val="24"/>
        </w:rPr>
        <w:t xml:space="preserve">Amaranthus, M. (2012). Tiny Soil Organisms Provide Big Soil Health Benefits. </w:t>
      </w:r>
      <w:r w:rsidRPr="00190E54">
        <w:rPr>
          <w:rFonts w:ascii="Times New Roman" w:hAnsi="Times New Roman" w:cs="Times New Roman"/>
          <w:i/>
          <w:iCs/>
          <w:color w:val="323232"/>
          <w:sz w:val="24"/>
          <w:szCs w:val="24"/>
        </w:rPr>
        <w:t>Making the Most of Microbes,</w:t>
      </w:r>
      <w:r w:rsidRPr="00190E54">
        <w:rPr>
          <w:rFonts w:ascii="Times New Roman" w:hAnsi="Times New Roman" w:cs="Times New Roman"/>
          <w:color w:val="323232"/>
          <w:sz w:val="24"/>
          <w:szCs w:val="24"/>
        </w:rPr>
        <w:t xml:space="preserve"> </w:t>
      </w:r>
      <w:r w:rsidRPr="00190E54">
        <w:rPr>
          <w:rFonts w:ascii="Times New Roman" w:hAnsi="Times New Roman" w:cs="Times New Roman"/>
          <w:i/>
          <w:iCs/>
          <w:color w:val="323232"/>
          <w:sz w:val="24"/>
          <w:szCs w:val="24"/>
        </w:rPr>
        <w:t>42</w:t>
      </w:r>
      <w:r w:rsidRPr="00190E54">
        <w:rPr>
          <w:rFonts w:ascii="Times New Roman" w:hAnsi="Times New Roman" w:cs="Times New Roman"/>
          <w:color w:val="323232"/>
          <w:sz w:val="24"/>
          <w:szCs w:val="24"/>
        </w:rPr>
        <w:t>(10). Retrieved December 31, 2017.</w:t>
      </w:r>
      <w:r w:rsidRPr="00190E54">
        <w:rPr>
          <w:rFonts w:ascii="Times New Roman" w:hAnsi="Times New Roman" w:cs="Times New Roman"/>
          <w:sz w:val="24"/>
          <w:szCs w:val="24"/>
        </w:rPr>
        <w:t xml:space="preserve"> </w:t>
      </w:r>
      <w:hyperlink r:id="rId11" w:history="1">
        <w:r w:rsidR="00F50741" w:rsidRPr="00190E54">
          <w:rPr>
            <w:rStyle w:val="Hyperlink"/>
            <w:rFonts w:ascii="Times New Roman" w:hAnsi="Times New Roman" w:cs="Times New Roman"/>
            <w:sz w:val="24"/>
            <w:szCs w:val="24"/>
          </w:rPr>
          <w:t>http://mycorrhizae.com/wp-content/uploads/2013/03/Making-the-Most-of-Microbes-PDF.pdf</w:t>
        </w:r>
      </w:hyperlink>
    </w:p>
    <w:p w:rsidR="002077CD" w:rsidRPr="00190E54" w:rsidRDefault="00F50741">
      <w:pPr>
        <w:rPr>
          <w:rFonts w:ascii="Times New Roman" w:hAnsi="Times New Roman" w:cs="Times New Roman"/>
          <w:sz w:val="24"/>
          <w:szCs w:val="24"/>
        </w:rPr>
      </w:pPr>
      <w:r w:rsidRPr="00190E54">
        <w:rPr>
          <w:rFonts w:ascii="Times New Roman" w:hAnsi="Times New Roman" w:cs="Times New Roman"/>
          <w:color w:val="323232"/>
          <w:sz w:val="24"/>
          <w:szCs w:val="24"/>
        </w:rPr>
        <w:t xml:space="preserve">Racsko, B. J., &amp; Poole, H. (2017, December 05). How Mycorrhizae Provide Value at Your Greenhouse or Nursery. Retrieved December 31, 2017, from </w:t>
      </w:r>
      <w:hyperlink r:id="rId12" w:history="1">
        <w:r w:rsidR="002077CD" w:rsidRPr="00190E54">
          <w:rPr>
            <w:rStyle w:val="Hyperlink"/>
            <w:rFonts w:ascii="Times New Roman" w:hAnsi="Times New Roman" w:cs="Times New Roman"/>
            <w:sz w:val="24"/>
            <w:szCs w:val="24"/>
          </w:rPr>
          <w:t>http://www.greenhousegrower.com/production/media/how-mycorrhizae-provide-value-at-your-greenhouse-or-nursery/</w:t>
        </w:r>
      </w:hyperlink>
    </w:p>
    <w:p w:rsidR="00337E0D" w:rsidRPr="00190E54" w:rsidRDefault="00337E0D">
      <w:pPr>
        <w:rPr>
          <w:rFonts w:ascii="Times New Roman" w:hAnsi="Times New Roman" w:cs="Times New Roman"/>
          <w:color w:val="323232"/>
          <w:sz w:val="24"/>
          <w:szCs w:val="24"/>
        </w:rPr>
      </w:pPr>
      <w:r w:rsidRPr="00190E54">
        <w:rPr>
          <w:rFonts w:ascii="Times New Roman" w:hAnsi="Times New Roman" w:cs="Times New Roman"/>
          <w:color w:val="323232"/>
          <w:sz w:val="24"/>
          <w:szCs w:val="24"/>
        </w:rPr>
        <w:lastRenderedPageBreak/>
        <w:t xml:space="preserve">Pane, C., Palese, A. M., Celano, G., &amp; Zaccardelli, M. (n.d.). Effects of compost tea treatments on productivity of lettuce and kohlrabi systems under organic cropping management. Retrieved December 31, 2017, from </w:t>
      </w:r>
      <w:hyperlink r:id="rId13" w:history="1">
        <w:r w:rsidRPr="00190E54">
          <w:rPr>
            <w:rStyle w:val="Hyperlink"/>
            <w:rFonts w:ascii="Times New Roman" w:hAnsi="Times New Roman" w:cs="Times New Roman"/>
            <w:sz w:val="24"/>
            <w:szCs w:val="24"/>
          </w:rPr>
          <w:t>http://www.agronomy.it/index.php/agro/article/view/ija.2014.596</w:t>
        </w:r>
      </w:hyperlink>
    </w:p>
    <w:p w:rsidR="00337E0D" w:rsidRDefault="00337E0D">
      <w:pPr>
        <w:rPr>
          <w:rFonts w:ascii="Times New Roman" w:hAnsi="Times New Roman" w:cs="Times New Roman"/>
          <w:color w:val="323232"/>
          <w:sz w:val="24"/>
          <w:szCs w:val="24"/>
        </w:rPr>
      </w:pPr>
      <w:r w:rsidRPr="00190E54">
        <w:rPr>
          <w:rFonts w:ascii="Times New Roman" w:hAnsi="Times New Roman" w:cs="Times New Roman"/>
          <w:color w:val="323232"/>
          <w:sz w:val="24"/>
          <w:szCs w:val="24"/>
        </w:rPr>
        <w:t xml:space="preserve">University of California, Division of Agriculture and Natural Resources. (n.d.). The Effects of Mycorrhizal Fungi Inoculum on Vegetables. Retrieved December 31, 2017, from </w:t>
      </w:r>
      <w:hyperlink r:id="rId14" w:history="1">
        <w:r w:rsidR="0090324B" w:rsidRPr="00096362">
          <w:rPr>
            <w:rStyle w:val="Hyperlink"/>
            <w:rFonts w:ascii="Times New Roman" w:hAnsi="Times New Roman" w:cs="Times New Roman"/>
            <w:sz w:val="24"/>
            <w:szCs w:val="24"/>
          </w:rPr>
          <w:t>http://smsf-mastergardeners.ucanr.edu/Elkus/The_Effects_of_Mycorrhizal_Fungi_Inoculum_on_Vegetables</w:t>
        </w:r>
      </w:hyperlink>
    </w:p>
    <w:p w:rsidR="0090324B" w:rsidRDefault="0090324B">
      <w:pPr>
        <w:rPr>
          <w:rFonts w:ascii="Times New Roman" w:hAnsi="Times New Roman" w:cs="Times New Roman"/>
          <w:sz w:val="24"/>
          <w:szCs w:val="24"/>
        </w:rPr>
      </w:pPr>
    </w:p>
    <w:p w:rsidR="0090324B" w:rsidRPr="00011470" w:rsidRDefault="0090324B">
      <w:pPr>
        <w:rPr>
          <w:rFonts w:ascii="Times New Roman" w:hAnsi="Times New Roman" w:cs="Times New Roman"/>
          <w:i/>
          <w:sz w:val="24"/>
          <w:szCs w:val="24"/>
          <w:u w:val="single"/>
        </w:rPr>
      </w:pPr>
      <w:r w:rsidRPr="00011470">
        <w:rPr>
          <w:rFonts w:ascii="Times New Roman" w:hAnsi="Times New Roman" w:cs="Times New Roman"/>
          <w:i/>
          <w:sz w:val="24"/>
          <w:szCs w:val="24"/>
          <w:u w:val="single"/>
        </w:rPr>
        <w:t>Ac</w:t>
      </w:r>
      <w:r w:rsidR="00011470" w:rsidRPr="00011470">
        <w:rPr>
          <w:rFonts w:ascii="Times New Roman" w:hAnsi="Times New Roman" w:cs="Times New Roman"/>
          <w:i/>
          <w:sz w:val="24"/>
          <w:szCs w:val="24"/>
          <w:u w:val="single"/>
        </w:rPr>
        <w:t>knowledgements</w:t>
      </w:r>
    </w:p>
    <w:p w:rsidR="00011470" w:rsidRDefault="00011470">
      <w:pPr>
        <w:rPr>
          <w:rFonts w:ascii="Times New Roman" w:hAnsi="Times New Roman" w:cs="Times New Roman"/>
          <w:sz w:val="24"/>
          <w:szCs w:val="24"/>
        </w:rPr>
      </w:pPr>
      <w:r>
        <w:rPr>
          <w:rFonts w:ascii="Times New Roman" w:hAnsi="Times New Roman" w:cs="Times New Roman"/>
          <w:sz w:val="24"/>
          <w:szCs w:val="24"/>
        </w:rPr>
        <w:t xml:space="preserve">We would like to thank our FFA Advisor Mr. </w:t>
      </w:r>
      <w:r w:rsidRPr="00011470">
        <w:rPr>
          <w:rFonts w:ascii="Times New Roman" w:hAnsi="Times New Roman" w:cs="Times New Roman"/>
          <w:sz w:val="24"/>
          <w:szCs w:val="24"/>
        </w:rPr>
        <w:t>Jerry Kelley</w:t>
      </w:r>
      <w:r>
        <w:rPr>
          <w:rFonts w:ascii="Times New Roman" w:hAnsi="Times New Roman" w:cs="Times New Roman"/>
          <w:sz w:val="24"/>
          <w:szCs w:val="24"/>
        </w:rPr>
        <w:t xml:space="preserve"> for his direction, suggestions and support with this study. </w:t>
      </w:r>
    </w:p>
    <w:p w:rsidR="00011470" w:rsidRDefault="00011470">
      <w:pPr>
        <w:rPr>
          <w:rFonts w:ascii="Times New Roman" w:hAnsi="Times New Roman" w:cs="Times New Roman"/>
          <w:sz w:val="24"/>
          <w:szCs w:val="24"/>
        </w:rPr>
      </w:pPr>
    </w:p>
    <w:p w:rsidR="00011470" w:rsidRPr="00011470" w:rsidRDefault="00011470">
      <w:pPr>
        <w:rPr>
          <w:rFonts w:ascii="Times New Roman" w:hAnsi="Times New Roman" w:cs="Times New Roman"/>
          <w:sz w:val="24"/>
          <w:szCs w:val="24"/>
        </w:rPr>
      </w:pPr>
    </w:p>
    <w:sectPr w:rsidR="00011470" w:rsidRPr="0001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94"/>
    <w:rsid w:val="00011470"/>
    <w:rsid w:val="000125B5"/>
    <w:rsid w:val="00042ECD"/>
    <w:rsid w:val="0007413B"/>
    <w:rsid w:val="000A6CD1"/>
    <w:rsid w:val="000B6A6C"/>
    <w:rsid w:val="000F5A67"/>
    <w:rsid w:val="00190E54"/>
    <w:rsid w:val="001B5B01"/>
    <w:rsid w:val="00204C28"/>
    <w:rsid w:val="002077CD"/>
    <w:rsid w:val="002179C6"/>
    <w:rsid w:val="0028456A"/>
    <w:rsid w:val="002B5A93"/>
    <w:rsid w:val="00337E0D"/>
    <w:rsid w:val="0034089D"/>
    <w:rsid w:val="003515CD"/>
    <w:rsid w:val="00367207"/>
    <w:rsid w:val="0037790D"/>
    <w:rsid w:val="003A35E4"/>
    <w:rsid w:val="003A405E"/>
    <w:rsid w:val="003D2870"/>
    <w:rsid w:val="003D4F0B"/>
    <w:rsid w:val="00411227"/>
    <w:rsid w:val="00422CB8"/>
    <w:rsid w:val="00447F03"/>
    <w:rsid w:val="004A460B"/>
    <w:rsid w:val="004B7DB2"/>
    <w:rsid w:val="005012B2"/>
    <w:rsid w:val="00524A91"/>
    <w:rsid w:val="005639EF"/>
    <w:rsid w:val="0056705E"/>
    <w:rsid w:val="005B4CC9"/>
    <w:rsid w:val="005D0329"/>
    <w:rsid w:val="005E66A2"/>
    <w:rsid w:val="00643C02"/>
    <w:rsid w:val="00652018"/>
    <w:rsid w:val="00684118"/>
    <w:rsid w:val="006B631B"/>
    <w:rsid w:val="006D03BE"/>
    <w:rsid w:val="007206C3"/>
    <w:rsid w:val="00727809"/>
    <w:rsid w:val="00760B79"/>
    <w:rsid w:val="007D46F7"/>
    <w:rsid w:val="007D4D39"/>
    <w:rsid w:val="007F0578"/>
    <w:rsid w:val="00833E9F"/>
    <w:rsid w:val="00835A51"/>
    <w:rsid w:val="0084709E"/>
    <w:rsid w:val="0086381A"/>
    <w:rsid w:val="00885272"/>
    <w:rsid w:val="008E246E"/>
    <w:rsid w:val="008E3B9E"/>
    <w:rsid w:val="008F4A55"/>
    <w:rsid w:val="008F5DBA"/>
    <w:rsid w:val="008F6494"/>
    <w:rsid w:val="0090324B"/>
    <w:rsid w:val="00956957"/>
    <w:rsid w:val="009A43C4"/>
    <w:rsid w:val="009C0C61"/>
    <w:rsid w:val="009C1B87"/>
    <w:rsid w:val="00A20471"/>
    <w:rsid w:val="00A477EE"/>
    <w:rsid w:val="00AB491A"/>
    <w:rsid w:val="00AD177E"/>
    <w:rsid w:val="00B06874"/>
    <w:rsid w:val="00B20EE4"/>
    <w:rsid w:val="00B73917"/>
    <w:rsid w:val="00BC584D"/>
    <w:rsid w:val="00BC6440"/>
    <w:rsid w:val="00C251E0"/>
    <w:rsid w:val="00C2646C"/>
    <w:rsid w:val="00C6271A"/>
    <w:rsid w:val="00C631E3"/>
    <w:rsid w:val="00C80E2D"/>
    <w:rsid w:val="00D54957"/>
    <w:rsid w:val="00D615FA"/>
    <w:rsid w:val="00DA63FE"/>
    <w:rsid w:val="00DB0F91"/>
    <w:rsid w:val="00DB1100"/>
    <w:rsid w:val="00DB5F6A"/>
    <w:rsid w:val="00E13F48"/>
    <w:rsid w:val="00E65D1B"/>
    <w:rsid w:val="00E73CE5"/>
    <w:rsid w:val="00E87E5B"/>
    <w:rsid w:val="00E91C84"/>
    <w:rsid w:val="00E9787E"/>
    <w:rsid w:val="00EE05DC"/>
    <w:rsid w:val="00F37C0D"/>
    <w:rsid w:val="00F50741"/>
    <w:rsid w:val="00F57401"/>
    <w:rsid w:val="00F839CB"/>
    <w:rsid w:val="00F91FC3"/>
    <w:rsid w:val="00FA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3D46"/>
  <w15:chartTrackingRefBased/>
  <w15:docId w15:val="{F7AE0350-A185-45B6-9366-54AC8C72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D1"/>
    <w:pPr>
      <w:spacing w:after="0" w:line="240" w:lineRule="auto"/>
    </w:pPr>
  </w:style>
  <w:style w:type="character" w:styleId="Hyperlink">
    <w:name w:val="Hyperlink"/>
    <w:basedOn w:val="DefaultParagraphFont"/>
    <w:uiPriority w:val="99"/>
    <w:unhideWhenUsed/>
    <w:rsid w:val="005B4CC9"/>
    <w:rPr>
      <w:color w:val="0563C1" w:themeColor="hyperlink"/>
      <w:u w:val="single"/>
    </w:rPr>
  </w:style>
  <w:style w:type="character" w:styleId="UnresolvedMention">
    <w:name w:val="Unresolved Mention"/>
    <w:basedOn w:val="DefaultParagraphFont"/>
    <w:uiPriority w:val="99"/>
    <w:semiHidden/>
    <w:unhideWhenUsed/>
    <w:rsid w:val="005B4CC9"/>
    <w:rPr>
      <w:color w:val="808080"/>
      <w:shd w:val="clear" w:color="auto" w:fill="E6E6E6"/>
    </w:rPr>
  </w:style>
  <w:style w:type="character" w:styleId="FollowedHyperlink">
    <w:name w:val="FollowedHyperlink"/>
    <w:basedOn w:val="DefaultParagraphFont"/>
    <w:uiPriority w:val="99"/>
    <w:semiHidden/>
    <w:unhideWhenUsed/>
    <w:rsid w:val="00E13F48"/>
    <w:rPr>
      <w:color w:val="954F72" w:themeColor="followedHyperlink"/>
      <w:u w:val="single"/>
    </w:rPr>
  </w:style>
  <w:style w:type="paragraph" w:customStyle="1" w:styleId="Default">
    <w:name w:val="Default"/>
    <w:rsid w:val="00BC58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3745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0">
          <w:marLeft w:val="0"/>
          <w:marRight w:val="0"/>
          <w:marTop w:val="0"/>
          <w:marBottom w:val="0"/>
          <w:divBdr>
            <w:top w:val="none" w:sz="0" w:space="0" w:color="auto"/>
            <w:left w:val="none" w:sz="0" w:space="0" w:color="auto"/>
            <w:bottom w:val="none" w:sz="0" w:space="0" w:color="auto"/>
            <w:right w:val="none" w:sz="0" w:space="0" w:color="auto"/>
          </w:divBdr>
          <w:divsChild>
            <w:div w:id="1687753618">
              <w:marLeft w:val="0"/>
              <w:marRight w:val="0"/>
              <w:marTop w:val="0"/>
              <w:marBottom w:val="0"/>
              <w:divBdr>
                <w:top w:val="none" w:sz="0" w:space="0" w:color="auto"/>
                <w:left w:val="none" w:sz="0" w:space="0" w:color="auto"/>
                <w:bottom w:val="none" w:sz="0" w:space="0" w:color="auto"/>
                <w:right w:val="none" w:sz="0" w:space="0" w:color="auto"/>
              </w:divBdr>
              <w:divsChild>
                <w:div w:id="369110732">
                  <w:marLeft w:val="0"/>
                  <w:marRight w:val="0"/>
                  <w:marTop w:val="0"/>
                  <w:marBottom w:val="0"/>
                  <w:divBdr>
                    <w:top w:val="none" w:sz="0" w:space="0" w:color="auto"/>
                    <w:left w:val="none" w:sz="0" w:space="0" w:color="auto"/>
                    <w:bottom w:val="none" w:sz="0" w:space="0" w:color="auto"/>
                    <w:right w:val="none" w:sz="0" w:space="0" w:color="auto"/>
                  </w:divBdr>
                  <w:divsChild>
                    <w:div w:id="35593459">
                      <w:marLeft w:val="0"/>
                      <w:marRight w:val="0"/>
                      <w:marTop w:val="0"/>
                      <w:marBottom w:val="0"/>
                      <w:divBdr>
                        <w:top w:val="none" w:sz="0" w:space="0" w:color="auto"/>
                        <w:left w:val="none" w:sz="0" w:space="0" w:color="auto"/>
                        <w:bottom w:val="none" w:sz="0" w:space="0" w:color="auto"/>
                        <w:right w:val="none" w:sz="0" w:space="0" w:color="auto"/>
                      </w:divBdr>
                      <w:divsChild>
                        <w:div w:id="1794054886">
                          <w:marLeft w:val="0"/>
                          <w:marRight w:val="0"/>
                          <w:marTop w:val="0"/>
                          <w:marBottom w:val="0"/>
                          <w:divBdr>
                            <w:top w:val="none" w:sz="0" w:space="0" w:color="auto"/>
                            <w:left w:val="none" w:sz="0" w:space="0" w:color="auto"/>
                            <w:bottom w:val="none" w:sz="0" w:space="0" w:color="auto"/>
                            <w:right w:val="none" w:sz="0" w:space="0" w:color="auto"/>
                          </w:divBdr>
                          <w:divsChild>
                            <w:div w:id="222523853">
                              <w:marLeft w:val="0"/>
                              <w:marRight w:val="0"/>
                              <w:marTop w:val="0"/>
                              <w:marBottom w:val="0"/>
                              <w:divBdr>
                                <w:top w:val="none" w:sz="0" w:space="0" w:color="auto"/>
                                <w:left w:val="none" w:sz="0" w:space="0" w:color="auto"/>
                                <w:bottom w:val="none" w:sz="0" w:space="0" w:color="auto"/>
                                <w:right w:val="none" w:sz="0" w:space="0" w:color="auto"/>
                              </w:divBdr>
                              <w:divsChild>
                                <w:div w:id="208497695">
                                  <w:marLeft w:val="0"/>
                                  <w:marRight w:val="0"/>
                                  <w:marTop w:val="0"/>
                                  <w:marBottom w:val="0"/>
                                  <w:divBdr>
                                    <w:top w:val="none" w:sz="0" w:space="0" w:color="auto"/>
                                    <w:left w:val="none" w:sz="0" w:space="0" w:color="auto"/>
                                    <w:bottom w:val="none" w:sz="0" w:space="0" w:color="auto"/>
                                    <w:right w:val="none" w:sz="0" w:space="0" w:color="auto"/>
                                  </w:divBdr>
                                  <w:divsChild>
                                    <w:div w:id="1511985320">
                                      <w:marLeft w:val="0"/>
                                      <w:marRight w:val="0"/>
                                      <w:marTop w:val="0"/>
                                      <w:marBottom w:val="0"/>
                                      <w:divBdr>
                                        <w:top w:val="none" w:sz="0" w:space="0" w:color="auto"/>
                                        <w:left w:val="none" w:sz="0" w:space="0" w:color="auto"/>
                                        <w:bottom w:val="none" w:sz="0" w:space="0" w:color="auto"/>
                                        <w:right w:val="none" w:sz="0" w:space="0" w:color="auto"/>
                                      </w:divBdr>
                                      <w:divsChild>
                                        <w:div w:id="929890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hyperlink" Target="http://www.agronomy.it/index.php/agro/article/view/ija.2014.596" TargetMode="Externa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hyperlink" Target="http://www.greenhousegrower.com/production/media/how-mycorrhizae-provide-value-at-your-greenhouse-or-nurser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mycorrhizae.com/wp-content/uploads/2013/03/Making-the-Most-of-Microbes-PDF.pdf"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dx.doi.org/10.4067/S0718-95162015005000031" TargetMode="External"/><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hyperlink" Target="http://smsf-mastergardeners.ucanr.edu/Elkus/The_Effects_of_Mycorrhizal_Fungi_Inoculum_on_Vege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9</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Kelley</dc:creator>
  <cp:keywords/>
  <dc:description/>
  <cp:lastModifiedBy>Jerry Kelley</cp:lastModifiedBy>
  <cp:revision>14</cp:revision>
  <dcterms:created xsi:type="dcterms:W3CDTF">2017-12-31T14:59:00Z</dcterms:created>
  <dcterms:modified xsi:type="dcterms:W3CDTF">2018-04-08T18:42:00Z</dcterms:modified>
</cp:coreProperties>
</file>